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eastAsia="黑体"/>
          <w:color w:val="000000"/>
          <w:sz w:val="72"/>
          <w:szCs w:val="72"/>
        </w:rPr>
      </w:pPr>
      <w:bookmarkStart w:id="0" w:name="_Toc15378441"/>
      <w:bookmarkStart w:id="1" w:name="_Toc80456648"/>
      <w:bookmarkStart w:id="2" w:name="_Toc15377425"/>
      <w:bookmarkStart w:id="3" w:name="_Toc80458039"/>
      <w:bookmarkStart w:id="4" w:name="_Toc15396597"/>
      <w:bookmarkStart w:id="5" w:name="_Toc15377193"/>
      <w:bookmarkStart w:id="6" w:name="_Toc15396475"/>
      <w:bookmarkStart w:id="7" w:name="_Toc15306267"/>
    </w:p>
    <w:p>
      <w:pPr>
        <w:adjustRightInd w:val="0"/>
        <w:snapToGrid w:val="0"/>
        <w:spacing w:line="1000" w:lineRule="exact"/>
        <w:jc w:val="center"/>
        <w:outlineLvl w:val="0"/>
        <w:rPr>
          <w:rFonts w:eastAsia="黑体"/>
          <w:color w:val="000000"/>
          <w:sz w:val="72"/>
          <w:szCs w:val="72"/>
        </w:rPr>
      </w:pPr>
    </w:p>
    <w:p>
      <w:pPr>
        <w:adjustRightInd w:val="0"/>
        <w:snapToGrid w:val="0"/>
        <w:spacing w:line="1000" w:lineRule="exact"/>
        <w:jc w:val="center"/>
        <w:outlineLvl w:val="0"/>
        <w:rPr>
          <w:rFonts w:eastAsia="黑体"/>
          <w:color w:val="000000"/>
          <w:sz w:val="72"/>
          <w:szCs w:val="72"/>
        </w:rPr>
      </w:pPr>
    </w:p>
    <w:p>
      <w:pPr>
        <w:adjustRightInd w:val="0"/>
        <w:snapToGrid w:val="0"/>
        <w:spacing w:line="360" w:lineRule="auto"/>
        <w:jc w:val="center"/>
        <w:outlineLvl w:val="0"/>
        <w:rPr>
          <w:rFonts w:hint="default" w:ascii="Times New Roman" w:hAnsi="Times New Roman" w:eastAsia="方正小标宋简体" w:cs="Times New Roman"/>
          <w:spacing w:val="-24"/>
          <w:sz w:val="72"/>
          <w:szCs w:val="72"/>
          <w:lang w:val="zh-CN"/>
        </w:rPr>
      </w:pPr>
      <w:r>
        <w:rPr>
          <w:rFonts w:hint="default" w:ascii="Times New Roman" w:hAnsi="Times New Roman" w:eastAsia="方正小标宋简体" w:cs="Times New Roman"/>
          <w:spacing w:val="-24"/>
          <w:sz w:val="72"/>
          <w:szCs w:val="72"/>
          <w:lang w:val="zh-CN"/>
        </w:rPr>
        <w:t>2022年度</w:t>
      </w:r>
      <w:bookmarkEnd w:id="0"/>
      <w:bookmarkEnd w:id="1"/>
      <w:bookmarkEnd w:id="2"/>
      <w:bookmarkEnd w:id="3"/>
      <w:bookmarkEnd w:id="4"/>
      <w:bookmarkEnd w:id="5"/>
      <w:bookmarkEnd w:id="6"/>
      <w:bookmarkStart w:id="8" w:name="_Toc15396476"/>
      <w:bookmarkStart w:id="9" w:name="_Toc15377194"/>
      <w:bookmarkStart w:id="10" w:name="_Toc80458040"/>
      <w:bookmarkStart w:id="11" w:name="_Toc15377426"/>
      <w:bookmarkStart w:id="12" w:name="_Toc80456649"/>
      <w:bookmarkStart w:id="13" w:name="_Toc15378442"/>
      <w:bookmarkStart w:id="14" w:name="_Toc15396598"/>
    </w:p>
    <w:p>
      <w:pPr>
        <w:adjustRightInd w:val="0"/>
        <w:snapToGrid w:val="0"/>
        <w:spacing w:line="360" w:lineRule="auto"/>
        <w:jc w:val="center"/>
        <w:outlineLvl w:val="0"/>
        <w:rPr>
          <w:rFonts w:eastAsia="方正小标宋简体"/>
          <w:spacing w:val="-24"/>
          <w:sz w:val="72"/>
          <w:szCs w:val="72"/>
          <w:lang w:val="zh-CN"/>
        </w:rPr>
      </w:pPr>
      <w:r>
        <w:rPr>
          <w:rFonts w:eastAsia="方正小标宋简体"/>
          <w:spacing w:val="-24"/>
          <w:sz w:val="72"/>
          <w:szCs w:val="72"/>
          <w:lang w:val="zh-CN"/>
        </w:rPr>
        <w:t>四川省</w:t>
      </w:r>
      <w:bookmarkEnd w:id="7"/>
      <w:bookmarkStart w:id="15" w:name="_Toc15306268"/>
      <w:r>
        <w:rPr>
          <w:rFonts w:eastAsia="方正小标宋简体"/>
          <w:spacing w:val="-24"/>
          <w:sz w:val="72"/>
          <w:szCs w:val="72"/>
          <w:lang w:val="zh-CN"/>
        </w:rPr>
        <w:t>退役军人培训中心</w:t>
      </w:r>
    </w:p>
    <w:p>
      <w:pPr>
        <w:adjustRightInd w:val="0"/>
        <w:snapToGrid w:val="0"/>
        <w:spacing w:line="360" w:lineRule="auto"/>
        <w:jc w:val="center"/>
        <w:outlineLvl w:val="0"/>
        <w:rPr>
          <w:rFonts w:eastAsia="方正小标宋简体"/>
          <w:spacing w:val="-24"/>
          <w:sz w:val="72"/>
          <w:szCs w:val="72"/>
          <w:lang w:val="zh-CN"/>
        </w:rPr>
      </w:pPr>
      <w:r>
        <w:rPr>
          <w:rFonts w:eastAsia="方正小标宋简体"/>
          <w:spacing w:val="-24"/>
          <w:sz w:val="72"/>
          <w:szCs w:val="72"/>
          <w:lang w:val="zh-CN"/>
        </w:rPr>
        <w:t>(四川省军地人才培训中心)</w:t>
      </w:r>
    </w:p>
    <w:p>
      <w:pPr>
        <w:adjustRightInd w:val="0"/>
        <w:snapToGrid w:val="0"/>
        <w:spacing w:line="360" w:lineRule="auto"/>
        <w:jc w:val="center"/>
        <w:outlineLvl w:val="0"/>
        <w:rPr>
          <w:rFonts w:eastAsia="方正小标宋简体"/>
          <w:spacing w:val="-24"/>
          <w:sz w:val="72"/>
          <w:szCs w:val="72"/>
          <w:lang w:val="zh-CN"/>
        </w:rPr>
      </w:pPr>
      <w:r>
        <w:rPr>
          <w:rFonts w:eastAsia="方正小标宋简体"/>
          <w:spacing w:val="-24"/>
          <w:sz w:val="72"/>
          <w:szCs w:val="72"/>
          <w:lang w:val="zh-CN"/>
        </w:rPr>
        <w:t>单位决算</w:t>
      </w:r>
      <w:bookmarkEnd w:id="8"/>
      <w:bookmarkEnd w:id="9"/>
      <w:bookmarkEnd w:id="10"/>
      <w:bookmarkEnd w:id="11"/>
      <w:bookmarkEnd w:id="12"/>
      <w:bookmarkEnd w:id="13"/>
      <w:bookmarkEnd w:id="14"/>
      <w:bookmarkEnd w:id="15"/>
    </w:p>
    <w:p>
      <w:pPr>
        <w:adjustRightInd w:val="0"/>
        <w:snapToGrid w:val="0"/>
        <w:spacing w:line="360" w:lineRule="auto"/>
        <w:jc w:val="center"/>
        <w:outlineLvl w:val="0"/>
        <w:rPr>
          <w:rFonts w:eastAsia="方正小标宋简体"/>
          <w:color w:val="000000"/>
          <w:sz w:val="52"/>
          <w:szCs w:val="52"/>
        </w:rPr>
      </w:pPr>
    </w:p>
    <w:p>
      <w:pPr>
        <w:adjustRightInd w:val="0"/>
        <w:snapToGrid w:val="0"/>
        <w:spacing w:line="360" w:lineRule="auto"/>
        <w:jc w:val="center"/>
        <w:outlineLvl w:val="0"/>
        <w:rPr>
          <w:rFonts w:eastAsia="方正小标宋简体"/>
          <w:color w:val="000000"/>
          <w:sz w:val="52"/>
          <w:szCs w:val="52"/>
        </w:rPr>
      </w:pPr>
    </w:p>
    <w:p>
      <w:pPr>
        <w:adjustRightInd w:val="0"/>
        <w:snapToGrid w:val="0"/>
        <w:spacing w:line="360" w:lineRule="auto"/>
        <w:jc w:val="center"/>
        <w:outlineLvl w:val="0"/>
        <w:rPr>
          <w:rFonts w:eastAsia="方正小标宋简体"/>
          <w:color w:val="000000"/>
          <w:sz w:val="52"/>
          <w:szCs w:val="52"/>
        </w:rPr>
      </w:pPr>
    </w:p>
    <w:p>
      <w:pPr>
        <w:widowControl/>
        <w:rPr>
          <w:rFonts w:eastAsia="方正仿宋简体"/>
          <w:sz w:val="32"/>
          <w:szCs w:val="32"/>
        </w:rPr>
      </w:pPr>
    </w:p>
    <w:p>
      <w:pPr>
        <w:pStyle w:val="33"/>
        <w:jc w:val="center"/>
        <w:rPr>
          <w:rFonts w:ascii="Times New Roman" w:hAnsi="Times New Roman" w:eastAsia="黑体" w:cs="Times New Roman"/>
          <w:b w:val="0"/>
          <w:color w:val="000000" w:themeColor="text1"/>
          <w:sz w:val="44"/>
          <w:szCs w:val="44"/>
          <w:lang w:val="zh-CN"/>
          <w14:textFill>
            <w14:solidFill>
              <w14:schemeClr w14:val="tx1"/>
            </w14:solidFill>
          </w14:textFill>
        </w:rPr>
      </w:pPr>
      <w:r>
        <w:rPr>
          <w:rFonts w:ascii="Times New Roman" w:hAnsi="黑体" w:eastAsia="黑体" w:cs="Times New Roman"/>
          <w:b w:val="0"/>
          <w:color w:val="000000" w:themeColor="text1"/>
          <w:sz w:val="44"/>
          <w:szCs w:val="44"/>
          <w:lang w:val="zh-CN"/>
          <w14:textFill>
            <w14:solidFill>
              <w14:schemeClr w14:val="tx1"/>
            </w14:solidFill>
          </w14:textFill>
        </w:rPr>
        <w:t>目</w:t>
      </w:r>
      <w:r>
        <w:rPr>
          <w:rFonts w:ascii="Times New Roman" w:hAnsi="Times New Roman" w:eastAsia="黑体" w:cs="Times New Roman"/>
          <w:b w:val="0"/>
          <w:color w:val="000000" w:themeColor="text1"/>
          <w:sz w:val="44"/>
          <w:szCs w:val="44"/>
          <w:lang w:val="zh-CN"/>
          <w14:textFill>
            <w14:solidFill>
              <w14:schemeClr w14:val="tx1"/>
            </w14:solidFill>
          </w14:textFill>
        </w:rPr>
        <w:t xml:space="preserve">  </w:t>
      </w:r>
      <w:r>
        <w:rPr>
          <w:rFonts w:ascii="Times New Roman" w:hAnsi="黑体" w:eastAsia="黑体" w:cs="Times New Roman"/>
          <w:b w:val="0"/>
          <w:color w:val="000000" w:themeColor="text1"/>
          <w:sz w:val="44"/>
          <w:szCs w:val="44"/>
          <w:lang w:val="zh-CN"/>
          <w14:textFill>
            <w14:solidFill>
              <w14:schemeClr w14:val="tx1"/>
            </w14:solidFill>
          </w14:textFill>
        </w:rPr>
        <w:t>录</w:t>
      </w:r>
    </w:p>
    <w:p>
      <w:pPr>
        <w:pStyle w:val="33"/>
        <w:spacing w:line="360" w:lineRule="auto"/>
        <w:jc w:val="center"/>
        <w:rPr>
          <w:rFonts w:hint="default" w:ascii="Times New Roman" w:hAnsi="Times New Roman" w:eastAsia="方正仿宋简体" w:cs="Times New Roman"/>
          <w:color w:val="auto"/>
          <w:kern w:val="2"/>
          <w:sz w:val="24"/>
          <w:szCs w:val="24"/>
        </w:rPr>
      </w:pPr>
      <w:r>
        <w:rPr>
          <w:rFonts w:hint="default" w:ascii="Times New Roman" w:hAnsi="Times New Roman" w:eastAsia="方正仿宋简体" w:cs="Times New Roman"/>
          <w:color w:val="auto"/>
          <w:kern w:val="2"/>
          <w:sz w:val="28"/>
          <w:szCs w:val="28"/>
        </w:rPr>
        <w:t>公开时间:2023年9月6日</w:t>
      </w:r>
      <w:r>
        <w:rPr>
          <w:rFonts w:hint="default" w:ascii="Times New Roman" w:hAnsi="Times New Roman" w:eastAsia="方正仿宋简体" w:cs="Times New Roman"/>
          <w:color w:val="auto"/>
          <w:kern w:val="2"/>
          <w:sz w:val="24"/>
          <w:szCs w:val="24"/>
        </w:rPr>
        <w:fldChar w:fldCharType="begin"/>
      </w:r>
      <w:r>
        <w:rPr>
          <w:rFonts w:hint="default" w:ascii="Times New Roman" w:hAnsi="Times New Roman" w:eastAsia="方正仿宋简体" w:cs="Times New Roman"/>
          <w:color w:val="auto"/>
          <w:kern w:val="2"/>
          <w:sz w:val="24"/>
          <w:szCs w:val="24"/>
        </w:rPr>
        <w:instrText xml:space="preserve"> TOC \o "1-3" \h \z \u </w:instrText>
      </w:r>
      <w:r>
        <w:rPr>
          <w:rFonts w:hint="default" w:ascii="Times New Roman" w:hAnsi="Times New Roman" w:eastAsia="方正仿宋简体" w:cs="Times New Roman"/>
          <w:color w:val="auto"/>
          <w:kern w:val="2"/>
          <w:sz w:val="24"/>
          <w:szCs w:val="24"/>
        </w:rPr>
        <w:fldChar w:fldCharType="separate"/>
      </w:r>
    </w:p>
    <w:p>
      <w:pPr>
        <w:pStyle w:val="12"/>
        <w:tabs>
          <w:tab w:val="right" w:leader="dot" w:pos="8505"/>
          <w:tab w:val="clear" w:pos="8296"/>
        </w:tabs>
        <w:spacing w:line="480" w:lineRule="auto"/>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"_Toc80458041"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第一部分单位概况………………………………………</w:t>
      </w:r>
      <w:r>
        <w:rPr>
          <w:rFonts w:hint="eastAsia" w:ascii="Times New Roman" w:hAnsi="Times New Roman" w:eastAsia="方正仿宋简体" w:cs="Times New Roman"/>
          <w:sz w:val="28"/>
          <w:szCs w:val="28"/>
          <w:lang w:val="en-US" w:eastAsia="zh-CN"/>
        </w:rPr>
        <w:t>..............................</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_Toc80458041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pPr>
        <w:pStyle w:val="13"/>
        <w:spacing w:line="480" w:lineRule="auto"/>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"_Toc80458042"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一、主要职责……………………………………………………</w:t>
      </w:r>
      <w:r>
        <w:rPr>
          <w:rFonts w:hint="eastAsia" w:eastAsia="方正仿宋简体" w:cs="Times New Roman"/>
          <w:sz w:val="28"/>
          <w:szCs w:val="28"/>
          <w:lang w:val="en-US" w:eastAsia="zh-CN"/>
        </w:rPr>
        <w:t>............</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_Toc80458042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3</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pPr>
        <w:pStyle w:val="13"/>
        <w:spacing w:line="480" w:lineRule="auto"/>
        <w:jc w:val="both"/>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"_Toc80458043"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二、机构设置………………….…………………………………</w:t>
      </w:r>
      <w:r>
        <w:rPr>
          <w:rFonts w:hint="eastAsia" w:eastAsia="方正仿宋简体" w:cs="Times New Roman"/>
          <w:sz w:val="28"/>
          <w:szCs w:val="28"/>
          <w:lang w:val="en-US" w:eastAsia="zh-CN"/>
        </w:rPr>
        <w:t>...........</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_Toc80458043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4</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pPr>
        <w:pStyle w:val="12"/>
        <w:spacing w:line="480" w:lineRule="auto"/>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"_Toc80458044"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第二部分202</w:t>
      </w:r>
      <w:r>
        <w:rPr>
          <w:rFonts w:hint="eastAsia" w:ascii="Times New Roman" w:hAnsi="Times New Roman" w:eastAsia="方正仿宋简体" w:cs="Times New Roman"/>
          <w:sz w:val="28"/>
          <w:szCs w:val="28"/>
          <w:lang w:val="en-US" w:eastAsia="zh-CN"/>
        </w:rPr>
        <w:t>2</w:t>
      </w:r>
      <w:r>
        <w:rPr>
          <w:rFonts w:hint="default" w:ascii="Times New Roman" w:hAnsi="Times New Roman" w:eastAsia="方正仿宋简体" w:cs="Times New Roman"/>
          <w:sz w:val="28"/>
          <w:szCs w:val="28"/>
        </w:rPr>
        <w:t>年度单位决算情况说明……………………...……………</w:t>
      </w:r>
      <w:r>
        <w:rPr>
          <w:rFonts w:hint="eastAsia" w:ascii="Times New Roman" w:hAnsi="Times New Roman" w:eastAsia="方正仿宋简体" w:cs="Times New Roman"/>
          <w:sz w:val="28"/>
          <w:szCs w:val="28"/>
          <w:lang w:val="en-US" w:eastAsia="zh-CN"/>
        </w:rPr>
        <w:t>.</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_Toc80458044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pPr>
        <w:pStyle w:val="13"/>
        <w:tabs>
          <w:tab w:val="left" w:pos="915"/>
        </w:tabs>
        <w:spacing w:line="480" w:lineRule="auto"/>
        <w:ind w:left="424" w:leftChars="202"/>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"_Toc80458045"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一、</w:t>
      </w:r>
      <w:r>
        <w:rPr>
          <w:rFonts w:hint="default" w:ascii="Times New Roman" w:hAnsi="Times New Roman" w:eastAsia="方正仿宋简体" w:cs="Times New Roman"/>
          <w:sz w:val="28"/>
          <w:szCs w:val="28"/>
        </w:rPr>
        <w:tab/>
      </w:r>
      <w:r>
        <w:rPr>
          <w:rFonts w:hint="default" w:ascii="Times New Roman" w:hAnsi="Times New Roman" w:eastAsia="方正仿宋简体" w:cs="Times New Roman"/>
          <w:sz w:val="28"/>
          <w:szCs w:val="28"/>
        </w:rPr>
        <w:t>收入支出决算总体情况说明…………………………..…………</w:t>
      </w:r>
      <w:r>
        <w:rPr>
          <w:rFonts w:hint="eastAsia" w:eastAsia="方正仿宋简体" w:cs="Times New Roman"/>
          <w:sz w:val="28"/>
          <w:szCs w:val="28"/>
          <w:lang w:val="en-US" w:eastAsia="zh-CN"/>
        </w:rPr>
        <w:t>..</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_Toc80458045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bookmarkStart w:id="114" w:name="_GoBack"/>
      <w:bookmarkEnd w:id="114"/>
    </w:p>
    <w:p>
      <w:pPr>
        <w:pStyle w:val="13"/>
        <w:tabs>
          <w:tab w:val="left" w:pos="915"/>
        </w:tabs>
        <w:spacing w:line="480" w:lineRule="auto"/>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"_Toc80458046"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二、收入决算情况说明………………………..…………</w:t>
      </w:r>
      <w:r>
        <w:rPr>
          <w:rFonts w:hint="eastAsia" w:eastAsia="方正仿宋简体" w:cs="Times New Roman"/>
          <w:sz w:val="28"/>
          <w:szCs w:val="28"/>
          <w:lang w:val="en-US" w:eastAsia="zh-CN"/>
        </w:rPr>
        <w:t>......................</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_Toc80458046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pPr>
        <w:pStyle w:val="13"/>
        <w:tabs>
          <w:tab w:val="left" w:pos="915"/>
        </w:tabs>
        <w:spacing w:line="480" w:lineRule="auto"/>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"_Toc80458050"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三、支出决算情况说明………………………………..…………</w:t>
      </w:r>
      <w:r>
        <w:rPr>
          <w:rFonts w:hint="eastAsia" w:eastAsia="方正仿宋简体" w:cs="Times New Roman"/>
          <w:sz w:val="28"/>
          <w:szCs w:val="28"/>
          <w:lang w:val="en-US" w:eastAsia="zh-CN"/>
        </w:rPr>
        <w:t>..........</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_Toc80458050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pPr>
        <w:pStyle w:val="13"/>
        <w:spacing w:line="480" w:lineRule="auto"/>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"_Toc80458053"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四、财政拨款收入支出决算总体情况说明…………………………</w:t>
      </w:r>
      <w:r>
        <w:rPr>
          <w:rFonts w:hint="eastAsia" w:eastAsia="方正仿宋简体" w:cs="Times New Roman"/>
          <w:sz w:val="28"/>
          <w:szCs w:val="28"/>
          <w:lang w:val="en-US" w:eastAsia="zh-CN"/>
        </w:rPr>
        <w:t>....</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_Toc80458053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6</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pPr>
        <w:pStyle w:val="13"/>
        <w:spacing w:line="480" w:lineRule="auto"/>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"_Toc80458054"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五、一般公共预算财政拨款支出决算情况说明……………………</w:t>
      </w:r>
      <w:r>
        <w:rPr>
          <w:rFonts w:hint="eastAsia" w:eastAsia="方正仿宋简体" w:cs="Times New Roman"/>
          <w:sz w:val="28"/>
          <w:szCs w:val="28"/>
          <w:lang w:val="en-US" w:eastAsia="zh-CN"/>
        </w:rPr>
        <w:t>....</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_Toc80458054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pPr>
        <w:pStyle w:val="13"/>
        <w:spacing w:line="480" w:lineRule="auto"/>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"_Toc80458059"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六、一般公共预算财政拨款基本支出决算情况明…………………</w:t>
      </w:r>
      <w:r>
        <w:rPr>
          <w:rFonts w:hint="eastAsia" w:eastAsia="方正仿宋简体" w:cs="Times New Roman"/>
          <w:sz w:val="28"/>
          <w:szCs w:val="28"/>
          <w:lang w:val="en-US" w:eastAsia="zh-CN"/>
        </w:rPr>
        <w:t>....</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_Toc80458059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9</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pPr>
        <w:pStyle w:val="13"/>
        <w:spacing w:line="480" w:lineRule="auto"/>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"_Toc80458060"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七、“三公”经费财政拨款支出决算情况说明………………………</w:t>
      </w:r>
      <w:r>
        <w:rPr>
          <w:rFonts w:hint="eastAsia" w:eastAsia="方正仿宋简体" w:cs="Times New Roman"/>
          <w:sz w:val="28"/>
          <w:szCs w:val="28"/>
          <w:lang w:val="en-US" w:eastAsia="zh-CN"/>
        </w:rPr>
        <w:t>...</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_Toc80458060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10</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pPr>
        <w:pStyle w:val="13"/>
        <w:spacing w:line="480" w:lineRule="auto"/>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"_Toc80458063"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八、政府性基金预算支出决算情况说明……………………………</w:t>
      </w:r>
      <w:r>
        <w:rPr>
          <w:rFonts w:hint="eastAsia" w:eastAsia="方正仿宋简体" w:cs="Times New Roman"/>
          <w:sz w:val="28"/>
          <w:szCs w:val="28"/>
          <w:lang w:val="en-US" w:eastAsia="zh-CN"/>
        </w:rPr>
        <w:t>...</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_Toc80458063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11</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pPr>
        <w:pStyle w:val="13"/>
        <w:spacing w:line="480" w:lineRule="auto"/>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"_Toc80458064"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九、国有资本经营预算支出决算情况说明……………………………</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_Toc80458064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11</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pPr>
        <w:pStyle w:val="13"/>
        <w:spacing w:line="480" w:lineRule="auto"/>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"_Toc80458065"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十、其他重要事项的情况说明…………………………………………</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_Toc80458065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11</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pPr>
        <w:pStyle w:val="12"/>
        <w:spacing w:line="480" w:lineRule="auto"/>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"_Toc80458070"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第三部分名词解释…………………………………………………</w:t>
      </w:r>
      <w:r>
        <w:rPr>
          <w:rFonts w:hint="eastAsia" w:ascii="Times New Roman" w:hAnsi="Times New Roman" w:eastAsia="方正仿宋简体" w:cs="Times New Roman"/>
          <w:sz w:val="28"/>
          <w:szCs w:val="28"/>
          <w:lang w:val="en-US" w:eastAsia="zh-CN"/>
        </w:rPr>
        <w:t>............</w:t>
      </w:r>
      <w:r>
        <w:rPr>
          <w:rFonts w:hint="default" w:ascii="Times New Roman" w:hAnsi="Times New Roman" w:eastAsia="方正仿宋简体" w:cs="Times New Roman"/>
          <w:sz w:val="28"/>
          <w:szCs w:val="28"/>
        </w:rPr>
        <w:t>13</w:t>
      </w:r>
      <w:r>
        <w:rPr>
          <w:rFonts w:hint="default" w:ascii="Times New Roman" w:hAnsi="Times New Roman" w:eastAsia="方正仿宋简体" w:cs="Times New Roman"/>
          <w:sz w:val="28"/>
          <w:szCs w:val="28"/>
        </w:rPr>
        <w:fldChar w:fldCharType="end"/>
      </w:r>
    </w:p>
    <w:p>
      <w:pPr>
        <w:pStyle w:val="12"/>
        <w:spacing w:line="480" w:lineRule="auto"/>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"_Toc80458071"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第四部分附件………………………………………………………………</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_Toc80458071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15</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pPr>
        <w:pStyle w:val="12"/>
        <w:spacing w:line="480" w:lineRule="auto"/>
        <w:jc w:val="left"/>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HYPERLINK \l "_Toc80458073"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第五部分附表…………………………………………………………….</w:t>
      </w:r>
      <w:r>
        <w:rPr>
          <w:rFonts w:hint="eastAsia" w:ascii="Times New Roman" w:hAnsi="Times New Roman" w:eastAsia="方正仿宋简体" w:cs="Times New Roman"/>
          <w:sz w:val="28"/>
          <w:szCs w:val="28"/>
          <w:lang w:val="en-US" w:eastAsia="zh-CN"/>
        </w:rPr>
        <w:t>...</w:t>
      </w:r>
      <w:r>
        <w:rPr>
          <w:rFonts w:hint="default" w:ascii="Times New Roman" w:hAnsi="Times New Roman" w:eastAsia="方正仿宋简体" w:cs="Times New Roman"/>
          <w:sz w:val="28"/>
          <w:szCs w:val="28"/>
        </w:rPr>
        <w:fldChar w:fldCharType="begin"/>
      </w:r>
      <w:r>
        <w:rPr>
          <w:rFonts w:hint="default" w:ascii="Times New Roman" w:hAnsi="Times New Roman" w:eastAsia="方正仿宋简体" w:cs="Times New Roman"/>
          <w:sz w:val="28"/>
          <w:szCs w:val="28"/>
        </w:rPr>
        <w:instrText xml:space="preserve"> PAGEREF _Toc80458073 \h </w:instrText>
      </w:r>
      <w:r>
        <w:rPr>
          <w:rFonts w:hint="default" w:ascii="Times New Roman" w:hAnsi="Times New Roman" w:eastAsia="方正仿宋简体" w:cs="Times New Roman"/>
          <w:sz w:val="28"/>
          <w:szCs w:val="28"/>
        </w:rPr>
        <w:fldChar w:fldCharType="separate"/>
      </w:r>
      <w:r>
        <w:rPr>
          <w:rFonts w:hint="default" w:ascii="Times New Roman" w:hAnsi="Times New Roman" w:eastAsia="方正仿宋简体" w:cs="Times New Roman"/>
          <w:sz w:val="28"/>
          <w:szCs w:val="28"/>
        </w:rPr>
        <w:t>17</w:t>
      </w:r>
      <w:r>
        <w:rPr>
          <w:rFonts w:hint="default" w:ascii="Times New Roman" w:hAnsi="Times New Roman" w:eastAsia="方正仿宋简体" w:cs="Times New Roman"/>
          <w:sz w:val="28"/>
          <w:szCs w:val="28"/>
        </w:rPr>
        <w:fldChar w:fldCharType="end"/>
      </w:r>
      <w:r>
        <w:rPr>
          <w:rFonts w:hint="default" w:ascii="Times New Roman" w:hAnsi="Times New Roman" w:eastAsia="方正仿宋简体" w:cs="Times New Roman"/>
          <w:sz w:val="28"/>
          <w:szCs w:val="28"/>
        </w:rPr>
        <w:fldChar w:fldCharType="end"/>
      </w:r>
    </w:p>
    <w:p>
      <w:pPr>
        <w:pStyle w:val="13"/>
        <w:spacing w:line="360" w:lineRule="auto"/>
        <w:jc w:val="left"/>
        <w:rPr>
          <w:rFonts w:hint="default" w:ascii="Times New Roman" w:hAnsi="Times New Roman" w:eastAsia="方正仿宋简体" w:cs="Times New Roman"/>
          <w:sz w:val="24"/>
          <w:szCs w:val="24"/>
        </w:rPr>
      </w:pPr>
    </w:p>
    <w:p>
      <w:pPr>
        <w:rPr>
          <w:rFonts w:hint="default" w:ascii="Times New Roman" w:hAnsi="Times New Roman" w:cs="Times New Roman" w:eastAsiaTheme="minorEastAsia"/>
          <w:sz w:val="24"/>
        </w:rPr>
      </w:pPr>
      <w:r>
        <w:rPr>
          <w:rFonts w:hint="default" w:ascii="Times New Roman" w:hAnsi="Times New Roman" w:eastAsia="方正仿宋简体" w:cs="Times New Roman"/>
          <w:sz w:val="24"/>
          <w:szCs w:val="24"/>
          <w:lang w:val="zh-CN"/>
        </w:rPr>
        <w:fldChar w:fldCharType="end"/>
      </w:r>
      <w:bookmarkStart w:id="16" w:name="_Toc15377196"/>
      <w:bookmarkStart w:id="17" w:name="_Toc15396599"/>
    </w:p>
    <w:p>
      <w:pPr>
        <w:pStyle w:val="3"/>
        <w:spacing w:line="600" w:lineRule="exact"/>
        <w:jc w:val="center"/>
        <w:rPr>
          <w:rFonts w:ascii="方正黑体简体" w:hAnsi="方正黑体简体" w:eastAsia="方正黑体简体"/>
          <w:b w:val="0"/>
          <w:bCs w:val="0"/>
        </w:rPr>
      </w:pPr>
      <w:bookmarkStart w:id="18" w:name="_Toc80458041"/>
      <w:r>
        <w:rPr>
          <w:rFonts w:ascii="方正黑体简体" w:hAnsi="方正黑体简体" w:eastAsia="方正黑体简体"/>
          <w:b w:val="0"/>
          <w:bCs w:val="0"/>
        </w:rPr>
        <w:t>第一部分</w:t>
      </w:r>
      <w:r>
        <w:rPr>
          <w:rFonts w:hint="eastAsia" w:ascii="方正黑体简体" w:hAnsi="方正黑体简体" w:eastAsia="方正黑体简体"/>
          <w:b w:val="0"/>
          <w:bCs w:val="0"/>
        </w:rPr>
        <w:t xml:space="preserve">  </w:t>
      </w:r>
      <w:r>
        <w:rPr>
          <w:rFonts w:ascii="方正黑体简体" w:hAnsi="方正黑体简体" w:eastAsia="方正黑体简体"/>
          <w:b w:val="0"/>
          <w:bCs w:val="0"/>
        </w:rPr>
        <w:t>单位</w:t>
      </w:r>
      <w:r>
        <w:rPr>
          <w:rStyle w:val="27"/>
          <w:rFonts w:ascii="方正黑体简体" w:hAnsi="方正黑体简体" w:eastAsia="方正黑体简体"/>
          <w:b w:val="0"/>
          <w:bCs w:val="0"/>
        </w:rPr>
        <w:t>概况</w:t>
      </w:r>
      <w:bookmarkEnd w:id="16"/>
      <w:bookmarkEnd w:id="17"/>
      <w:bookmarkEnd w:id="18"/>
    </w:p>
    <w:p>
      <w:pPr>
        <w:pStyle w:val="4"/>
        <w:spacing w:line="600" w:lineRule="exact"/>
        <w:ind w:firstLine="640" w:firstLineChars="200"/>
        <w:rPr>
          <w:rFonts w:ascii="Times New Roman" w:hAnsi="Times New Roman" w:eastAsia="方正黑体简体" w:cs="Times New Roman"/>
          <w:b w:val="0"/>
          <w:color w:val="000000"/>
        </w:rPr>
      </w:pPr>
      <w:bookmarkStart w:id="19" w:name="_Toc80458042"/>
      <w:bookmarkStart w:id="20" w:name="_Toc15377197"/>
      <w:bookmarkStart w:id="21" w:name="_Toc15396600"/>
      <w:r>
        <w:rPr>
          <w:rFonts w:ascii="Times New Roman" w:hAnsi="方正黑体简体" w:eastAsia="方正黑体简体" w:cs="Times New Roman"/>
          <w:b w:val="0"/>
          <w:color w:val="000000"/>
        </w:rPr>
        <w:t>一、</w:t>
      </w:r>
      <w:bookmarkEnd w:id="19"/>
      <w:bookmarkEnd w:id="20"/>
      <w:bookmarkEnd w:id="21"/>
      <w:r>
        <w:rPr>
          <w:rFonts w:ascii="Times New Roman" w:hAnsi="方正黑体简体" w:eastAsia="方正黑体简体" w:cs="Times New Roman"/>
          <w:b w:val="0"/>
          <w:color w:val="000000"/>
        </w:rPr>
        <w:t>主要职责</w:t>
      </w:r>
    </w:p>
    <w:p>
      <w:pPr>
        <w:spacing w:line="600" w:lineRule="exact"/>
        <w:ind w:firstLine="640" w:firstLineChars="200"/>
        <w:rPr>
          <w:rFonts w:eastAsia="方正仿宋简体"/>
          <w:color w:val="000000"/>
          <w:sz w:val="32"/>
          <w:szCs w:val="32"/>
        </w:rPr>
      </w:pPr>
      <w:r>
        <w:rPr>
          <w:rFonts w:hAnsi="方正仿宋简体" w:eastAsia="方正仿宋简体"/>
          <w:color w:val="000000"/>
          <w:sz w:val="32"/>
          <w:szCs w:val="32"/>
        </w:rPr>
        <w:t>四川省退役军人培训中心（四川省军地人才培训中心）贯彻落实党中央关于退役军人工作的方针政策和省委决策部署。主要承担为四川省退役军人事务厅提供支持保障职能，主要职责是：</w:t>
      </w:r>
    </w:p>
    <w:p>
      <w:pPr>
        <w:spacing w:line="600" w:lineRule="exact"/>
        <w:ind w:firstLine="640" w:firstLineChars="200"/>
        <w:rPr>
          <w:rFonts w:eastAsia="方正仿宋简体"/>
          <w:color w:val="000000"/>
          <w:sz w:val="32"/>
          <w:szCs w:val="32"/>
        </w:rPr>
      </w:pPr>
      <w:r>
        <w:rPr>
          <w:rFonts w:hAnsi="方正仿宋简体" w:eastAsia="方正仿宋简体"/>
          <w:color w:val="000000"/>
          <w:sz w:val="32"/>
          <w:szCs w:val="32"/>
        </w:rPr>
        <w:t>（一）承担指导全省退役军人教育培训工作开展的行政辅助工作，负责全省退役军人教育培训机构、基地的遴选、指导、监督、考核等事务工作。联系退役军人教育培训相关社会组织，开展培训交流与合作。</w:t>
      </w:r>
    </w:p>
    <w:p>
      <w:pPr>
        <w:spacing w:line="600" w:lineRule="exact"/>
        <w:ind w:firstLine="640" w:firstLineChars="200"/>
        <w:rPr>
          <w:rFonts w:eastAsia="方正仿宋简体"/>
          <w:color w:val="000000"/>
          <w:sz w:val="32"/>
          <w:szCs w:val="32"/>
        </w:rPr>
      </w:pPr>
      <w:r>
        <w:rPr>
          <w:rFonts w:hAnsi="方正仿宋简体" w:eastAsia="方正仿宋简体"/>
          <w:color w:val="000000"/>
          <w:sz w:val="32"/>
          <w:szCs w:val="32"/>
        </w:rPr>
        <w:t>（二）承担拟定全省退役军人教育培训政策、制度、规划等行政辅助工作，组织开展退役军人教育培训相关课题研究、学术交流活动。</w:t>
      </w:r>
    </w:p>
    <w:p>
      <w:pPr>
        <w:spacing w:line="600" w:lineRule="exact"/>
        <w:ind w:firstLine="640" w:firstLineChars="200"/>
        <w:rPr>
          <w:rFonts w:eastAsia="方正仿宋简体"/>
          <w:color w:val="000000"/>
          <w:sz w:val="32"/>
          <w:szCs w:val="32"/>
        </w:rPr>
      </w:pPr>
      <w:r>
        <w:rPr>
          <w:rFonts w:hAnsi="方正仿宋简体" w:eastAsia="方正仿宋简体"/>
          <w:color w:val="000000"/>
          <w:sz w:val="32"/>
          <w:szCs w:val="32"/>
        </w:rPr>
        <w:t>（三）承担退役军人、退役军人事务系统干部、军地人才教育培训工作，开展退役军人培训学员的就业推荐、创业指导工作。承担协助军队开展退役军人学历教育、知识拓展、技能培训等行政辅助工作。</w:t>
      </w:r>
    </w:p>
    <w:p>
      <w:pPr>
        <w:spacing w:line="600" w:lineRule="exact"/>
        <w:ind w:firstLine="640" w:firstLineChars="200"/>
        <w:rPr>
          <w:rFonts w:eastAsia="方正仿宋简体"/>
          <w:color w:val="000000"/>
          <w:sz w:val="32"/>
          <w:szCs w:val="32"/>
        </w:rPr>
      </w:pPr>
      <w:r>
        <w:rPr>
          <w:rFonts w:hAnsi="方正仿宋简体" w:eastAsia="方正仿宋简体"/>
          <w:color w:val="000000"/>
          <w:sz w:val="32"/>
          <w:szCs w:val="32"/>
        </w:rPr>
        <w:t>（四）承担四川省退役军人事务厅机关大院后勤服务保障、资产管理、安全保卫以及相关会议保障等工作。</w:t>
      </w:r>
    </w:p>
    <w:p>
      <w:pPr>
        <w:spacing w:line="600" w:lineRule="exact"/>
        <w:ind w:firstLine="640" w:firstLineChars="200"/>
        <w:rPr>
          <w:rFonts w:eastAsia="方正仿宋简体"/>
          <w:color w:val="000000"/>
          <w:sz w:val="32"/>
          <w:szCs w:val="32"/>
        </w:rPr>
      </w:pPr>
      <w:r>
        <w:rPr>
          <w:rFonts w:hAnsi="方正仿宋简体" w:eastAsia="方正仿宋简体"/>
          <w:color w:val="000000"/>
          <w:sz w:val="32"/>
          <w:szCs w:val="32"/>
        </w:rPr>
        <w:t>（五）完成四川省退役军人事务厅交办的其他工作。</w:t>
      </w:r>
    </w:p>
    <w:p/>
    <w:p>
      <w:pPr>
        <w:pStyle w:val="4"/>
        <w:ind w:firstLine="640" w:firstLineChars="200"/>
        <w:rPr>
          <w:rFonts w:ascii="Times New Roman" w:hAnsi="Times New Roman" w:eastAsia="方正黑体简体" w:cs="Times New Roman"/>
          <w:b w:val="0"/>
          <w:bCs w:val="0"/>
        </w:rPr>
      </w:pPr>
      <w:bookmarkStart w:id="22" w:name="_Toc15377199"/>
      <w:bookmarkStart w:id="23" w:name="_Toc15378446"/>
      <w:bookmarkStart w:id="24" w:name="_Toc80458043"/>
      <w:r>
        <w:rPr>
          <w:rFonts w:ascii="Times New Roman" w:hAnsi="方正黑体简体" w:eastAsia="方正黑体简体" w:cs="Times New Roman"/>
          <w:b w:val="0"/>
          <w:bCs w:val="0"/>
        </w:rPr>
        <w:t>二、</w:t>
      </w:r>
      <w:bookmarkEnd w:id="22"/>
      <w:bookmarkEnd w:id="23"/>
      <w:bookmarkEnd w:id="24"/>
      <w:r>
        <w:rPr>
          <w:rFonts w:ascii="Times New Roman" w:hAnsi="方正黑体简体" w:eastAsia="方正黑体简体" w:cs="Times New Roman"/>
          <w:b w:val="0"/>
          <w:bCs w:val="0"/>
        </w:rPr>
        <w:t>机构设置</w:t>
      </w:r>
    </w:p>
    <w:p>
      <w:pPr>
        <w:spacing w:line="590" w:lineRule="exact"/>
        <w:ind w:firstLine="640" w:firstLineChars="200"/>
        <w:outlineLvl w:val="0"/>
        <w:rPr>
          <w:rFonts w:eastAsia="方正仿宋简体"/>
          <w:sz w:val="32"/>
          <w:szCs w:val="32"/>
        </w:rPr>
      </w:pPr>
      <w:r>
        <w:rPr>
          <w:rFonts w:hAnsi="方正仿宋简体" w:eastAsia="方正仿宋简体"/>
          <w:color w:val="000000"/>
          <w:sz w:val="32"/>
          <w:szCs w:val="32"/>
        </w:rPr>
        <w:t>根据《四川省退役军人培训中心机构职能编制规定》四川省退役军人培训中心（四川省军地人才培训中心）设</w:t>
      </w:r>
      <w:r>
        <w:rPr>
          <w:rFonts w:eastAsia="方正仿宋简体"/>
          <w:color w:val="000000"/>
          <w:sz w:val="32"/>
          <w:szCs w:val="32"/>
        </w:rPr>
        <w:t>9</w:t>
      </w:r>
      <w:r>
        <w:rPr>
          <w:rFonts w:hAnsi="方正仿宋简体" w:eastAsia="方正仿宋简体"/>
          <w:color w:val="000000"/>
          <w:sz w:val="32"/>
          <w:szCs w:val="32"/>
        </w:rPr>
        <w:t>个内设机构：办公室、党建工作部、财务部、军转培训教研部、就业创业培训部、军地人才培训部、网络信息化部、基建设施管理部、综合服务保障部。</w:t>
      </w:r>
    </w:p>
    <w:p>
      <w:pPr>
        <w:spacing w:line="600" w:lineRule="exact"/>
        <w:ind w:firstLine="640" w:firstLineChars="200"/>
        <w:rPr>
          <w:rFonts w:eastAsia="仿宋"/>
          <w:color w:val="000000"/>
          <w:sz w:val="32"/>
          <w:szCs w:val="32"/>
        </w:rPr>
      </w:pPr>
    </w:p>
    <w:p>
      <w:pPr>
        <w:pStyle w:val="2"/>
        <w:adjustRightInd w:val="0"/>
        <w:snapToGrid w:val="0"/>
        <w:spacing w:before="93" w:line="600" w:lineRule="exact"/>
        <w:ind w:firstLine="566" w:firstLineChars="177"/>
        <w:rPr>
          <w:rFonts w:ascii="Times New Roman" w:eastAsia="仿宋"/>
          <w:sz w:val="32"/>
        </w:rPr>
      </w:pPr>
    </w:p>
    <w:p>
      <w:pPr>
        <w:pStyle w:val="2"/>
        <w:adjustRightInd w:val="0"/>
        <w:snapToGrid w:val="0"/>
        <w:spacing w:before="93" w:line="600" w:lineRule="exact"/>
        <w:ind w:firstLine="672" w:firstLineChars="210"/>
        <w:outlineLvl w:val="2"/>
        <w:rPr>
          <w:rFonts w:ascii="Times New Roman" w:eastAsia="仿宋"/>
          <w:bCs/>
          <w:color w:val="000000"/>
          <w:sz w:val="32"/>
          <w:szCs w:val="32"/>
        </w:rPr>
      </w:pPr>
    </w:p>
    <w:p>
      <w:pPr>
        <w:widowControl/>
        <w:spacing w:line="600" w:lineRule="exact"/>
        <w:jc w:val="left"/>
        <w:rPr>
          <w:rFonts w:eastAsia="仿宋"/>
          <w:color w:val="000000"/>
          <w:kern w:val="0"/>
          <w:sz w:val="32"/>
          <w:szCs w:val="32"/>
        </w:rPr>
      </w:pPr>
      <w:r>
        <w:rPr>
          <w:rFonts w:eastAsia="仿宋"/>
          <w:color w:val="000000"/>
          <w:sz w:val="32"/>
          <w:szCs w:val="32"/>
        </w:rPr>
        <w:br w:type="page"/>
      </w:r>
    </w:p>
    <w:p>
      <w:pPr>
        <w:pStyle w:val="3"/>
        <w:spacing w:line="600" w:lineRule="exact"/>
        <w:ind w:right="440"/>
        <w:jc w:val="center"/>
        <w:rPr>
          <w:rFonts w:hint="default" w:ascii="Times New Roman" w:hAnsi="Times New Roman" w:cs="Times New Roman"/>
        </w:rPr>
      </w:pPr>
      <w:bookmarkStart w:id="25" w:name="_Toc80458044"/>
      <w:bookmarkStart w:id="26" w:name="_Toc15396602"/>
      <w:bookmarkStart w:id="27" w:name="_Toc15377204"/>
      <w:r>
        <w:rPr>
          <w:rFonts w:hint="default" w:ascii="Times New Roman" w:hAnsi="Times New Roman" w:eastAsia="方正黑体简体" w:cs="Times New Roman"/>
          <w:b w:val="0"/>
          <w:color w:val="000000"/>
        </w:rPr>
        <w:t>第二部分</w:t>
      </w:r>
      <w:r>
        <w:rPr>
          <w:rStyle w:val="27"/>
          <w:rFonts w:hint="default" w:ascii="Times New Roman" w:hAnsi="Times New Roman" w:eastAsia="方正黑体简体" w:cs="Times New Roman"/>
          <w:b w:val="0"/>
          <w:bCs/>
        </w:rPr>
        <w:t>2022年度单位决算情况说明</w:t>
      </w:r>
      <w:bookmarkEnd w:id="25"/>
      <w:bookmarkEnd w:id="26"/>
      <w:bookmarkEnd w:id="27"/>
    </w:p>
    <w:p>
      <w:pPr>
        <w:pStyle w:val="26"/>
        <w:numPr>
          <w:ilvl w:val="0"/>
          <w:numId w:val="3"/>
        </w:numPr>
        <w:spacing w:line="600" w:lineRule="exact"/>
        <w:ind w:firstLineChars="0"/>
        <w:outlineLvl w:val="1"/>
        <w:rPr>
          <w:rStyle w:val="28"/>
          <w:rFonts w:ascii="Times New Roman" w:hAnsi="Times New Roman" w:eastAsia="方正黑体简体" w:cs="Times New Roman"/>
          <w:b w:val="0"/>
        </w:rPr>
      </w:pPr>
      <w:bookmarkStart w:id="28" w:name="_Toc15377205"/>
      <w:bookmarkStart w:id="29" w:name="_Toc80458045"/>
      <w:bookmarkStart w:id="30" w:name="_Toc15396603"/>
      <w:r>
        <w:rPr>
          <w:rFonts w:hAnsi="方正黑体简体" w:eastAsia="方正黑体简体"/>
          <w:bCs/>
          <w:color w:val="000000"/>
          <w:sz w:val="32"/>
          <w:szCs w:val="32"/>
        </w:rPr>
        <w:t>收</w:t>
      </w:r>
      <w:r>
        <w:rPr>
          <w:rStyle w:val="28"/>
          <w:rFonts w:ascii="Times New Roman" w:hAnsi="方正黑体简体" w:eastAsia="方正黑体简体" w:cs="Times New Roman"/>
          <w:b w:val="0"/>
        </w:rPr>
        <w:t>入支出决算总体情况说明</w:t>
      </w:r>
      <w:bookmarkEnd w:id="28"/>
      <w:bookmarkEnd w:id="29"/>
      <w:bookmarkEnd w:id="30"/>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sz w:val="32"/>
          <w:szCs w:val="32"/>
        </w:rPr>
        <w:drawing>
          <wp:anchor distT="0" distB="0" distL="114300" distR="114300" simplePos="0" relativeHeight="251659264" behindDoc="0" locked="0" layoutInCell="1" allowOverlap="1">
            <wp:simplePos x="0" y="0"/>
            <wp:positionH relativeFrom="margin">
              <wp:posOffset>253365</wp:posOffset>
            </wp:positionH>
            <wp:positionV relativeFrom="margin">
              <wp:posOffset>2521585</wp:posOffset>
            </wp:positionV>
            <wp:extent cx="5060950" cy="3079750"/>
            <wp:effectExtent l="0" t="0" r="25400" b="25400"/>
            <wp:wrapSquare wrapText="bothSides"/>
            <wp:docPr id="3" name="图表 3" title="单位：万元"/>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eastAsia="方正仿宋简体"/>
          <w:color w:val="000000"/>
          <w:sz w:val="32"/>
          <w:szCs w:val="32"/>
        </w:rPr>
        <w:t>2022</w:t>
      </w:r>
      <w:r>
        <w:rPr>
          <w:rFonts w:hAnsi="方正仿宋简体" w:eastAsia="方正仿宋简体"/>
          <w:color w:val="000000"/>
          <w:sz w:val="32"/>
          <w:szCs w:val="32"/>
        </w:rPr>
        <w:t>年度收、支总计</w:t>
      </w:r>
      <w:r>
        <w:rPr>
          <w:rFonts w:hint="eastAsia" w:hAnsi="方正仿宋简体" w:eastAsia="方正仿宋简体"/>
          <w:color w:val="000000"/>
          <w:sz w:val="32"/>
          <w:szCs w:val="32"/>
          <w:lang w:val="en-US" w:eastAsia="zh-CN"/>
        </w:rPr>
        <w:t>各</w:t>
      </w:r>
      <w:r>
        <w:rPr>
          <w:rFonts w:eastAsia="方正仿宋简体"/>
          <w:color w:val="000000"/>
          <w:sz w:val="32"/>
          <w:szCs w:val="32"/>
        </w:rPr>
        <w:t>1318.61</w:t>
      </w:r>
      <w:r>
        <w:rPr>
          <w:rFonts w:hAnsi="方正仿宋简体" w:eastAsia="方正仿宋简体"/>
          <w:color w:val="000000"/>
          <w:sz w:val="32"/>
          <w:szCs w:val="32"/>
        </w:rPr>
        <w:t>万元。与</w:t>
      </w:r>
      <w:r>
        <w:rPr>
          <w:rFonts w:eastAsia="方正仿宋简体"/>
          <w:color w:val="000000"/>
          <w:sz w:val="32"/>
          <w:szCs w:val="32"/>
        </w:rPr>
        <w:t>2021</w:t>
      </w:r>
      <w:r>
        <w:rPr>
          <w:rFonts w:hAnsi="方正仿宋简体" w:eastAsia="方正仿宋简体"/>
          <w:color w:val="000000"/>
          <w:sz w:val="32"/>
          <w:szCs w:val="32"/>
        </w:rPr>
        <w:t>年相比，收、支总计各增加</w:t>
      </w:r>
      <w:r>
        <w:rPr>
          <w:rFonts w:eastAsia="方正仿宋简体"/>
          <w:color w:val="000000"/>
          <w:sz w:val="32"/>
          <w:szCs w:val="32"/>
        </w:rPr>
        <w:t>270.13</w:t>
      </w:r>
      <w:r>
        <w:rPr>
          <w:rFonts w:hAnsi="方正仿宋简体" w:eastAsia="方正仿宋简体"/>
          <w:color w:val="000000"/>
          <w:sz w:val="32"/>
          <w:szCs w:val="32"/>
        </w:rPr>
        <w:t>万元，增</w:t>
      </w:r>
      <w:r>
        <w:rPr>
          <w:rFonts w:hint="eastAsia" w:hAnsi="方正仿宋简体" w:eastAsia="方正仿宋简体"/>
          <w:color w:val="000000"/>
          <w:sz w:val="32"/>
          <w:szCs w:val="32"/>
          <w:lang w:val="en-US" w:eastAsia="zh-CN"/>
        </w:rPr>
        <w:t>长</w:t>
      </w:r>
      <w:r>
        <w:rPr>
          <w:rFonts w:eastAsia="方正仿宋简体"/>
          <w:color w:val="000000"/>
          <w:sz w:val="32"/>
          <w:szCs w:val="32"/>
        </w:rPr>
        <w:t>25.77%</w:t>
      </w:r>
      <w:r>
        <w:rPr>
          <w:rFonts w:hAnsi="方正仿宋简体" w:eastAsia="方正仿宋简体"/>
          <w:color w:val="000000"/>
          <w:sz w:val="32"/>
          <w:szCs w:val="32"/>
        </w:rPr>
        <w:t>。主要变动原因</w:t>
      </w:r>
      <w:r>
        <w:rPr>
          <w:rFonts w:hint="eastAsia" w:hAnsi="方正仿宋简体" w:eastAsia="方正仿宋简体"/>
          <w:color w:val="000000"/>
          <w:sz w:val="32"/>
          <w:szCs w:val="32"/>
          <w:lang w:val="en-US" w:eastAsia="zh-CN"/>
        </w:rPr>
        <w:t>是:一</w:t>
      </w:r>
      <w:r>
        <w:rPr>
          <w:rFonts w:hint="eastAsia" w:hAnsi="方正仿宋简体" w:eastAsia="方正仿宋简体"/>
          <w:color w:val="000000"/>
          <w:sz w:val="32"/>
          <w:szCs w:val="32"/>
        </w:rPr>
        <w:t>人员</w:t>
      </w:r>
      <w:r>
        <w:rPr>
          <w:rFonts w:hint="eastAsia" w:hAnsi="方正仿宋简体" w:eastAsia="方正仿宋简体"/>
          <w:color w:val="000000"/>
          <w:sz w:val="32"/>
          <w:szCs w:val="32"/>
          <w:lang w:val="en-US" w:eastAsia="zh-CN"/>
        </w:rPr>
        <w:t>增加,</w:t>
      </w:r>
      <w:r>
        <w:rPr>
          <w:rFonts w:hint="eastAsia" w:hAnsi="方正仿宋简体" w:eastAsia="方正仿宋简体"/>
          <w:color w:val="000000"/>
          <w:sz w:val="32"/>
          <w:szCs w:val="32"/>
        </w:rPr>
        <w:t>对应安排的基本支出</w:t>
      </w:r>
      <w:r>
        <w:rPr>
          <w:rFonts w:hint="eastAsia" w:hAnsi="方正仿宋简体" w:eastAsia="方正仿宋简体"/>
          <w:color w:val="000000"/>
          <w:sz w:val="32"/>
          <w:szCs w:val="32"/>
          <w:lang w:val="en-US" w:eastAsia="zh-CN"/>
        </w:rPr>
        <w:t>增加;二增加设备购置经费，军地人才培训等项目支出</w:t>
      </w:r>
      <w:r>
        <w:rPr>
          <w:rFonts w:hint="eastAsia" w:hAnsi="方正仿宋简体" w:eastAsia="方正仿宋简体"/>
          <w:color w:val="000000"/>
          <w:sz w:val="32"/>
          <w:szCs w:val="32"/>
        </w:rPr>
        <w:t>。</w:t>
      </w:r>
    </w:p>
    <w:p>
      <w:pPr>
        <w:spacing w:line="600" w:lineRule="exact"/>
        <w:ind w:firstLine="640" w:firstLineChars="200"/>
        <w:jc w:val="center"/>
        <w:rPr>
          <w:rFonts w:eastAsia="方正仿宋简体"/>
          <w:color w:val="000000"/>
          <w:sz w:val="32"/>
          <w:szCs w:val="32"/>
        </w:rPr>
      </w:pPr>
      <w:r>
        <w:rPr>
          <w:rFonts w:hAnsi="方正仿宋简体" w:eastAsia="方正仿宋简体"/>
          <w:color w:val="000000"/>
          <w:sz w:val="32"/>
          <w:szCs w:val="32"/>
        </w:rPr>
        <w:t>图</w:t>
      </w:r>
      <w:r>
        <w:rPr>
          <w:rFonts w:eastAsia="方正仿宋简体"/>
          <w:color w:val="000000"/>
          <w:sz w:val="32"/>
          <w:szCs w:val="32"/>
        </w:rPr>
        <w:t>1</w:t>
      </w:r>
      <w:r>
        <w:rPr>
          <w:rFonts w:hAnsi="方正仿宋简体" w:eastAsia="方正仿宋简体"/>
          <w:color w:val="000000"/>
          <w:sz w:val="32"/>
          <w:szCs w:val="32"/>
        </w:rPr>
        <w:t>：收、支决算总计变动情况</w:t>
      </w:r>
    </w:p>
    <w:p>
      <w:pPr>
        <w:pStyle w:val="26"/>
        <w:numPr>
          <w:ilvl w:val="0"/>
          <w:numId w:val="3"/>
        </w:numPr>
        <w:spacing w:line="600" w:lineRule="exact"/>
        <w:ind w:firstLineChars="0"/>
        <w:outlineLvl w:val="1"/>
        <w:rPr>
          <w:rStyle w:val="28"/>
          <w:rFonts w:ascii="Times New Roman" w:hAnsi="Times New Roman" w:eastAsia="方正黑体简体" w:cs="Times New Roman"/>
          <w:b w:val="0"/>
        </w:rPr>
      </w:pPr>
      <w:bookmarkStart w:id="31" w:name="_Toc15377206"/>
      <w:bookmarkStart w:id="32" w:name="_Toc80458046"/>
      <w:bookmarkStart w:id="33" w:name="_Toc15396604"/>
      <w:r>
        <w:rPr>
          <w:rFonts w:hAnsi="方正黑体简体" w:eastAsia="方正黑体简体"/>
          <w:color w:val="000000"/>
          <w:sz w:val="32"/>
          <w:szCs w:val="32"/>
        </w:rPr>
        <w:t>收</w:t>
      </w:r>
      <w:r>
        <w:rPr>
          <w:rStyle w:val="28"/>
          <w:rFonts w:ascii="Times New Roman" w:hAnsi="方正黑体简体" w:eastAsia="方正黑体简体" w:cs="Times New Roman"/>
          <w:b w:val="0"/>
        </w:rPr>
        <w:t>入决算情况说明</w:t>
      </w:r>
      <w:bookmarkEnd w:id="31"/>
      <w:bookmarkEnd w:id="32"/>
      <w:bookmarkEnd w:id="33"/>
    </w:p>
    <w:p>
      <w:pPr>
        <w:spacing w:line="600" w:lineRule="exact"/>
        <w:ind w:firstLine="640" w:firstLineChars="200"/>
        <w:outlineLvl w:val="1"/>
        <w:rPr>
          <w:rFonts w:eastAsia="方正仿宋简体"/>
          <w:color w:val="000000"/>
          <w:sz w:val="32"/>
          <w:szCs w:val="32"/>
        </w:rPr>
      </w:pPr>
      <w:r>
        <w:rPr>
          <w:rFonts w:eastAsia="方正仿宋简体"/>
          <w:sz w:val="32"/>
          <w:szCs w:val="32"/>
        </w:rPr>
        <w:t>2022</w:t>
      </w:r>
      <w:r>
        <w:rPr>
          <w:rFonts w:hAnsi="方正仿宋简体" w:eastAsia="方正仿宋简体"/>
          <w:sz w:val="32"/>
          <w:szCs w:val="32"/>
        </w:rPr>
        <w:t>年本年收入合计</w:t>
      </w:r>
      <w:r>
        <w:rPr>
          <w:rFonts w:eastAsia="方正仿宋简体"/>
          <w:sz w:val="32"/>
          <w:szCs w:val="32"/>
        </w:rPr>
        <w:t>740.99</w:t>
      </w:r>
      <w:r>
        <w:rPr>
          <w:rFonts w:hAnsi="方正仿宋简体" w:eastAsia="方正仿宋简体"/>
          <w:sz w:val="32"/>
          <w:szCs w:val="32"/>
        </w:rPr>
        <w:t>万元，其中：一般公共预算财政拨款收入</w:t>
      </w:r>
      <w:r>
        <w:rPr>
          <w:rFonts w:eastAsia="方正仿宋简体"/>
          <w:sz w:val="32"/>
          <w:szCs w:val="32"/>
        </w:rPr>
        <w:t>501.76</w:t>
      </w:r>
      <w:r>
        <w:rPr>
          <w:rFonts w:hAnsi="方正仿宋简体" w:eastAsia="方正仿宋简体"/>
          <w:sz w:val="32"/>
          <w:szCs w:val="32"/>
        </w:rPr>
        <w:t>万元，占</w:t>
      </w:r>
      <w:r>
        <w:rPr>
          <w:rFonts w:eastAsia="方正仿宋简体"/>
          <w:sz w:val="32"/>
          <w:szCs w:val="32"/>
        </w:rPr>
        <w:t>67.72%</w:t>
      </w:r>
      <w:r>
        <w:rPr>
          <w:rFonts w:hAnsi="方正仿宋简体" w:eastAsia="方正仿宋简体"/>
          <w:sz w:val="32"/>
          <w:szCs w:val="32"/>
        </w:rPr>
        <w:t>；事业收入</w:t>
      </w:r>
      <w:r>
        <w:rPr>
          <w:rFonts w:eastAsia="方正仿宋简体"/>
          <w:sz w:val="32"/>
          <w:szCs w:val="32"/>
        </w:rPr>
        <w:t>239.23</w:t>
      </w:r>
      <w:r>
        <w:rPr>
          <w:rFonts w:hAnsi="方正仿宋简体" w:eastAsia="方正仿宋简体"/>
          <w:sz w:val="32"/>
          <w:szCs w:val="32"/>
        </w:rPr>
        <w:t>万元，占</w:t>
      </w:r>
      <w:r>
        <w:rPr>
          <w:rFonts w:eastAsia="方正仿宋简体"/>
          <w:sz w:val="32"/>
          <w:szCs w:val="32"/>
        </w:rPr>
        <w:t>32.28%</w:t>
      </w:r>
      <w:r>
        <w:rPr>
          <w:rFonts w:hAnsi="方正仿宋简体" w:eastAsia="方正仿宋简体"/>
          <w:sz w:val="32"/>
          <w:szCs w:val="32"/>
        </w:rPr>
        <w:t>。</w:t>
      </w:r>
    </w:p>
    <w:p>
      <w:pPr>
        <w:spacing w:line="600" w:lineRule="exact"/>
        <w:jc w:val="center"/>
        <w:outlineLvl w:val="1"/>
        <w:rPr>
          <w:rFonts w:eastAsia="方正仿宋简体"/>
          <w:color w:val="000000"/>
          <w:sz w:val="32"/>
          <w:szCs w:val="32"/>
        </w:rPr>
      </w:pPr>
      <w:bookmarkStart w:id="34" w:name="_Toc80456658"/>
      <w:bookmarkStart w:id="35" w:name="_Toc80458049"/>
      <w:r>
        <w:rPr>
          <w:rFonts w:eastAsia="方正仿宋简体"/>
          <w:color w:val="000000"/>
          <w:sz w:val="32"/>
          <w:szCs w:val="32"/>
        </w:rPr>
        <w:drawing>
          <wp:anchor distT="0" distB="0" distL="114300" distR="114300" simplePos="0" relativeHeight="251660288" behindDoc="0" locked="0" layoutInCell="1" allowOverlap="1">
            <wp:simplePos x="0" y="0"/>
            <wp:positionH relativeFrom="margin">
              <wp:posOffset>563245</wp:posOffset>
            </wp:positionH>
            <wp:positionV relativeFrom="margin">
              <wp:posOffset>309245</wp:posOffset>
            </wp:positionV>
            <wp:extent cx="4229100" cy="2590800"/>
            <wp:effectExtent l="4445" t="4445" r="14605" b="1460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Ansi="方正仿宋简体" w:eastAsia="方正仿宋简体"/>
          <w:color w:val="000000"/>
          <w:sz w:val="32"/>
          <w:szCs w:val="32"/>
        </w:rPr>
        <w:t>图</w:t>
      </w:r>
      <w:r>
        <w:rPr>
          <w:rFonts w:eastAsia="方正仿宋简体"/>
          <w:color w:val="000000"/>
          <w:sz w:val="32"/>
          <w:szCs w:val="32"/>
        </w:rPr>
        <w:t>2</w:t>
      </w:r>
      <w:r>
        <w:rPr>
          <w:rFonts w:hAnsi="方正仿宋简体" w:eastAsia="方正仿宋简体"/>
          <w:color w:val="000000"/>
          <w:sz w:val="32"/>
          <w:szCs w:val="32"/>
        </w:rPr>
        <w:t>：收入决算结构图</w:t>
      </w:r>
      <w:bookmarkEnd w:id="34"/>
      <w:bookmarkEnd w:id="35"/>
    </w:p>
    <w:p>
      <w:pPr>
        <w:pStyle w:val="26"/>
        <w:numPr>
          <w:ilvl w:val="0"/>
          <w:numId w:val="3"/>
        </w:numPr>
        <w:spacing w:line="600" w:lineRule="exact"/>
        <w:ind w:firstLineChars="0"/>
        <w:outlineLvl w:val="1"/>
        <w:rPr>
          <w:rStyle w:val="28"/>
          <w:rFonts w:ascii="Times New Roman" w:hAnsi="Times New Roman" w:eastAsia="方正黑体简体" w:cs="Times New Roman"/>
          <w:b w:val="0"/>
        </w:rPr>
      </w:pPr>
      <w:bookmarkStart w:id="36" w:name="_Toc15396605"/>
      <w:bookmarkStart w:id="37" w:name="_Toc80458050"/>
      <w:bookmarkStart w:id="38" w:name="_Toc15377207"/>
      <w:r>
        <w:rPr>
          <w:rFonts w:hAnsi="方正黑体简体" w:eastAsia="方正黑体简体"/>
          <w:color w:val="000000"/>
          <w:sz w:val="32"/>
          <w:szCs w:val="32"/>
        </w:rPr>
        <w:t>支</w:t>
      </w:r>
      <w:r>
        <w:rPr>
          <w:rStyle w:val="28"/>
          <w:rFonts w:ascii="Times New Roman" w:hAnsi="方正黑体简体" w:eastAsia="方正黑体简体" w:cs="Times New Roman"/>
          <w:b w:val="0"/>
        </w:rPr>
        <w:t>出决算情况说明</w:t>
      </w:r>
      <w:bookmarkEnd w:id="36"/>
      <w:bookmarkEnd w:id="37"/>
      <w:bookmarkEnd w:id="38"/>
    </w:p>
    <w:p>
      <w:pPr>
        <w:spacing w:line="600" w:lineRule="exact"/>
        <w:ind w:firstLine="640" w:firstLineChars="200"/>
        <w:outlineLvl w:val="1"/>
        <w:rPr>
          <w:rFonts w:eastAsia="方正仿宋简体"/>
          <w:sz w:val="32"/>
          <w:szCs w:val="32"/>
        </w:rPr>
      </w:pPr>
      <w:bookmarkStart w:id="39" w:name="_Toc80456660"/>
      <w:bookmarkStart w:id="40" w:name="_Toc80458051"/>
      <w:r>
        <w:rPr>
          <w:rFonts w:eastAsia="方正仿宋简体"/>
          <w:color w:val="000000"/>
          <w:sz w:val="32"/>
          <w:szCs w:val="32"/>
        </w:rPr>
        <w:t>2022</w:t>
      </w:r>
      <w:r>
        <w:rPr>
          <w:rFonts w:hAnsi="方正仿宋简体" w:eastAsia="方正仿宋简体"/>
          <w:color w:val="000000"/>
          <w:sz w:val="32"/>
          <w:szCs w:val="32"/>
        </w:rPr>
        <w:t>年本年支出合计</w:t>
      </w:r>
      <w:r>
        <w:rPr>
          <w:rFonts w:eastAsia="方正仿宋简体"/>
          <w:color w:val="000000"/>
          <w:sz w:val="32"/>
          <w:szCs w:val="32"/>
        </w:rPr>
        <w:t>1318.61</w:t>
      </w:r>
      <w:r>
        <w:rPr>
          <w:rFonts w:hAnsi="方正仿宋简体" w:eastAsia="方正仿宋简体"/>
          <w:color w:val="000000"/>
          <w:sz w:val="32"/>
          <w:szCs w:val="32"/>
        </w:rPr>
        <w:t>万元，其中：基本支出</w:t>
      </w:r>
      <w:r>
        <w:rPr>
          <w:rFonts w:eastAsia="方正仿宋简体"/>
          <w:color w:val="000000"/>
          <w:sz w:val="32"/>
          <w:szCs w:val="32"/>
        </w:rPr>
        <w:t>1077.51</w:t>
      </w:r>
      <w:r>
        <w:rPr>
          <w:rFonts w:hAnsi="方正仿宋简体" w:eastAsia="方正仿宋简体"/>
          <w:color w:val="000000"/>
          <w:sz w:val="32"/>
          <w:szCs w:val="32"/>
        </w:rPr>
        <w:t>万元，占</w:t>
      </w:r>
      <w:r>
        <w:rPr>
          <w:rFonts w:eastAsia="方正仿宋简体"/>
          <w:color w:val="000000"/>
          <w:sz w:val="32"/>
          <w:szCs w:val="32"/>
        </w:rPr>
        <w:t>81.72%</w:t>
      </w:r>
      <w:r>
        <w:rPr>
          <w:rFonts w:hAnsi="方正仿宋简体" w:eastAsia="方正仿宋简体"/>
          <w:color w:val="000000"/>
          <w:sz w:val="32"/>
          <w:szCs w:val="32"/>
        </w:rPr>
        <w:t>；项目支出</w:t>
      </w:r>
      <w:r>
        <w:rPr>
          <w:rFonts w:eastAsia="方正仿宋简体"/>
          <w:color w:val="000000"/>
          <w:sz w:val="32"/>
          <w:szCs w:val="32"/>
        </w:rPr>
        <w:t>241.10</w:t>
      </w:r>
      <w:r>
        <w:rPr>
          <w:rFonts w:hAnsi="方正仿宋简体" w:eastAsia="方正仿宋简体"/>
          <w:color w:val="000000"/>
          <w:sz w:val="32"/>
          <w:szCs w:val="32"/>
        </w:rPr>
        <w:t>万元，占</w:t>
      </w:r>
      <w:r>
        <w:rPr>
          <w:rFonts w:eastAsia="方正仿宋简体"/>
          <w:color w:val="000000"/>
          <w:sz w:val="32"/>
          <w:szCs w:val="32"/>
        </w:rPr>
        <w:t>18.28%</w:t>
      </w:r>
      <w:bookmarkEnd w:id="39"/>
      <w:bookmarkEnd w:id="40"/>
      <w:r>
        <w:rPr>
          <w:rFonts w:hAnsi="方正仿宋简体" w:eastAsia="方正仿宋简体"/>
          <w:color w:val="000000"/>
          <w:sz w:val="32"/>
          <w:szCs w:val="32"/>
        </w:rPr>
        <w:t>。</w:t>
      </w:r>
      <w:r>
        <w:rPr>
          <w:rFonts w:eastAsia="方正仿宋简体"/>
          <w:sz w:val="32"/>
          <w:szCs w:val="32"/>
        </w:rPr>
        <w:t xml:space="preserve"> </w:t>
      </w:r>
    </w:p>
    <w:p>
      <w:pPr>
        <w:spacing w:line="600" w:lineRule="exact"/>
        <w:jc w:val="center"/>
        <w:outlineLvl w:val="1"/>
        <w:rPr>
          <w:rFonts w:eastAsia="方正仿宋简体"/>
          <w:sz w:val="32"/>
          <w:szCs w:val="32"/>
        </w:rPr>
      </w:pPr>
      <w:r>
        <w:rPr>
          <w:rFonts w:eastAsia="方正仿宋简体"/>
          <w:color w:val="000000" w:themeColor="text1"/>
          <w:sz w:val="32"/>
          <w:szCs w:val="32"/>
          <w14:textFill>
            <w14:solidFill>
              <w14:schemeClr w14:val="tx1"/>
            </w14:solidFill>
          </w14:textFill>
        </w:rPr>
        <w:drawing>
          <wp:anchor distT="0" distB="0" distL="114300" distR="114300" simplePos="0" relativeHeight="251664384" behindDoc="0" locked="0" layoutInCell="1" allowOverlap="1">
            <wp:simplePos x="0" y="0"/>
            <wp:positionH relativeFrom="margin">
              <wp:posOffset>677545</wp:posOffset>
            </wp:positionH>
            <wp:positionV relativeFrom="margin">
              <wp:posOffset>4624070</wp:posOffset>
            </wp:positionV>
            <wp:extent cx="4238625" cy="2609850"/>
            <wp:effectExtent l="4445" t="5080" r="5080" b="13970"/>
            <wp:wrapTopAndBottom/>
            <wp:docPr id="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Ansi="方正仿宋简体" w:eastAsia="方正仿宋简体"/>
          <w:color w:val="000000" w:themeColor="text1"/>
          <w:sz w:val="32"/>
          <w:szCs w:val="32"/>
          <w14:textFill>
            <w14:solidFill>
              <w14:schemeClr w14:val="tx1"/>
            </w14:solidFill>
          </w14:textFill>
        </w:rPr>
        <w:t>图</w:t>
      </w:r>
      <w:r>
        <w:rPr>
          <w:rFonts w:eastAsia="方正仿宋简体"/>
          <w:color w:val="000000" w:themeColor="text1"/>
          <w:sz w:val="32"/>
          <w:szCs w:val="32"/>
          <w14:textFill>
            <w14:solidFill>
              <w14:schemeClr w14:val="tx1"/>
            </w14:solidFill>
          </w14:textFill>
        </w:rPr>
        <w:t>3</w:t>
      </w:r>
      <w:r>
        <w:rPr>
          <w:rFonts w:hAnsi="方正仿宋简体" w:eastAsia="方正仿宋简体"/>
          <w:color w:val="000000" w:themeColor="text1"/>
          <w:sz w:val="32"/>
          <w:szCs w:val="32"/>
          <w14:textFill>
            <w14:solidFill>
              <w14:schemeClr w14:val="tx1"/>
            </w14:solidFill>
          </w14:textFill>
        </w:rPr>
        <w:t>：支出决算结构图</w:t>
      </w:r>
    </w:p>
    <w:p>
      <w:pPr>
        <w:spacing w:line="600" w:lineRule="exact"/>
        <w:ind w:firstLine="640" w:firstLineChars="200"/>
        <w:outlineLvl w:val="1"/>
        <w:rPr>
          <w:rStyle w:val="28"/>
          <w:rFonts w:ascii="Times New Roman" w:hAnsi="Times New Roman" w:eastAsia="方正黑体简体" w:cs="Times New Roman"/>
          <w:b w:val="0"/>
          <w:bCs w:val="0"/>
        </w:rPr>
      </w:pPr>
      <w:bookmarkStart w:id="41" w:name="_Toc15377208"/>
      <w:bookmarkStart w:id="42" w:name="_Toc15396606"/>
      <w:bookmarkStart w:id="43" w:name="_Toc80458053"/>
      <w:r>
        <w:rPr>
          <w:rFonts w:eastAsia="方正黑体简体"/>
          <w:color w:val="000000"/>
          <w:sz w:val="32"/>
          <w:szCs w:val="32"/>
        </w:rPr>
        <w:t>四</w:t>
      </w:r>
      <w:r>
        <w:rPr>
          <w:rFonts w:eastAsia="黑体"/>
          <w:color w:val="000000"/>
          <w:sz w:val="32"/>
          <w:szCs w:val="32"/>
        </w:rPr>
        <w:t>、</w:t>
      </w:r>
      <w:r>
        <w:rPr>
          <w:rFonts w:hAnsi="方正黑体简体" w:eastAsia="方正黑体简体"/>
          <w:color w:val="000000"/>
          <w:sz w:val="32"/>
          <w:szCs w:val="32"/>
        </w:rPr>
        <w:t>财</w:t>
      </w:r>
      <w:r>
        <w:rPr>
          <w:rStyle w:val="28"/>
          <w:rFonts w:ascii="Times New Roman" w:hAnsi="方正黑体简体" w:eastAsia="方正黑体简体" w:cs="Times New Roman"/>
          <w:b w:val="0"/>
          <w:bCs w:val="0"/>
        </w:rPr>
        <w:t>政拨款收入支出决算总体情况说明</w:t>
      </w:r>
      <w:bookmarkEnd w:id="41"/>
      <w:bookmarkEnd w:id="42"/>
      <w:bookmarkEnd w:id="43"/>
    </w:p>
    <w:p>
      <w:pPr>
        <w:spacing w:line="600" w:lineRule="exact"/>
        <w:ind w:firstLine="640"/>
        <w:rPr>
          <w:rFonts w:eastAsia="方正仿宋简体"/>
          <w:color w:val="000000"/>
          <w:sz w:val="32"/>
          <w:szCs w:val="32"/>
        </w:rPr>
      </w:pPr>
      <w:r>
        <w:rPr>
          <w:rFonts w:eastAsia="方正仿宋简体"/>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margin">
              <wp:posOffset>96520</wp:posOffset>
            </wp:positionH>
            <wp:positionV relativeFrom="margin">
              <wp:posOffset>1268095</wp:posOffset>
            </wp:positionV>
            <wp:extent cx="5274310" cy="3076575"/>
            <wp:effectExtent l="0" t="0" r="21590" b="952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eastAsia="方正仿宋简体"/>
          <w:color w:val="000000"/>
          <w:sz w:val="32"/>
          <w:szCs w:val="32"/>
        </w:rPr>
        <w:t>2022</w:t>
      </w:r>
      <w:r>
        <w:rPr>
          <w:rFonts w:hAnsi="方正仿宋简体" w:eastAsia="方正仿宋简体"/>
          <w:color w:val="000000"/>
          <w:sz w:val="32"/>
          <w:szCs w:val="32"/>
        </w:rPr>
        <w:t>年财政拨款收、支总计</w:t>
      </w:r>
      <w:r>
        <w:rPr>
          <w:rFonts w:hint="eastAsia" w:hAnsi="方正仿宋简体" w:eastAsia="方正仿宋简体"/>
          <w:color w:val="000000"/>
          <w:sz w:val="32"/>
          <w:szCs w:val="32"/>
          <w:lang w:val="en-US" w:eastAsia="zh-CN"/>
        </w:rPr>
        <w:t>各</w:t>
      </w:r>
      <w:r>
        <w:rPr>
          <w:rFonts w:eastAsia="方正仿宋简体"/>
          <w:color w:val="000000"/>
          <w:sz w:val="32"/>
          <w:szCs w:val="32"/>
        </w:rPr>
        <w:t>501.76</w:t>
      </w:r>
      <w:r>
        <w:rPr>
          <w:rFonts w:hAnsi="方正仿宋简体" w:eastAsia="方正仿宋简体"/>
          <w:color w:val="000000"/>
          <w:sz w:val="32"/>
          <w:szCs w:val="32"/>
        </w:rPr>
        <w:t>万元。与</w:t>
      </w:r>
      <w:r>
        <w:rPr>
          <w:rFonts w:eastAsia="方正仿宋简体"/>
          <w:color w:val="000000"/>
          <w:sz w:val="32"/>
          <w:szCs w:val="32"/>
        </w:rPr>
        <w:t>2021</w:t>
      </w:r>
      <w:r>
        <w:rPr>
          <w:rFonts w:hAnsi="方正仿宋简体" w:eastAsia="方正仿宋简体"/>
          <w:color w:val="000000"/>
          <w:sz w:val="32"/>
          <w:szCs w:val="32"/>
        </w:rPr>
        <w:t>年相比，财政拨款收、支总计各增加</w:t>
      </w:r>
      <w:r>
        <w:rPr>
          <w:rFonts w:eastAsia="方正仿宋简体"/>
          <w:color w:val="000000"/>
          <w:sz w:val="32"/>
          <w:szCs w:val="32"/>
        </w:rPr>
        <w:t>27.2</w:t>
      </w:r>
      <w:r>
        <w:rPr>
          <w:rFonts w:hint="eastAsia" w:eastAsia="方正仿宋简体"/>
          <w:color w:val="000000"/>
          <w:sz w:val="32"/>
          <w:szCs w:val="32"/>
          <w:lang w:val="en-US" w:eastAsia="zh-CN"/>
        </w:rPr>
        <w:t>7</w:t>
      </w:r>
      <w:r>
        <w:rPr>
          <w:rFonts w:hAnsi="方正仿宋简体" w:eastAsia="方正仿宋简体"/>
          <w:color w:val="000000"/>
          <w:sz w:val="32"/>
          <w:szCs w:val="32"/>
        </w:rPr>
        <w:t>万元，增加</w:t>
      </w:r>
      <w:r>
        <w:rPr>
          <w:rFonts w:eastAsia="方正仿宋简体"/>
          <w:color w:val="000000"/>
          <w:sz w:val="32"/>
          <w:szCs w:val="32"/>
        </w:rPr>
        <w:t>5.75%</w:t>
      </w:r>
      <w:r>
        <w:rPr>
          <w:rFonts w:hAnsi="方正仿宋简体" w:eastAsia="方正仿宋简体"/>
          <w:color w:val="000000"/>
          <w:sz w:val="32"/>
          <w:szCs w:val="32"/>
        </w:rPr>
        <w:t>。主要变动原因是</w:t>
      </w:r>
      <w:r>
        <w:rPr>
          <w:rFonts w:hint="eastAsia" w:hAnsi="方正仿宋简体" w:eastAsia="方正仿宋简体"/>
          <w:color w:val="000000"/>
          <w:sz w:val="32"/>
          <w:szCs w:val="32"/>
        </w:rPr>
        <w:t>人员经费增加，对应安排的基本支出增加</w:t>
      </w:r>
      <w:r>
        <w:rPr>
          <w:rFonts w:hAnsi="方正仿宋简体" w:eastAsia="方正仿宋简体"/>
          <w:color w:val="000000"/>
          <w:sz w:val="32"/>
          <w:szCs w:val="32"/>
        </w:rPr>
        <w:t>。</w:t>
      </w:r>
      <w:bookmarkStart w:id="44" w:name="_Toc15396607"/>
      <w:bookmarkStart w:id="45" w:name="_Toc15377209"/>
    </w:p>
    <w:p>
      <w:pPr>
        <w:spacing w:line="600" w:lineRule="exact"/>
        <w:jc w:val="center"/>
        <w:rPr>
          <w:rFonts w:eastAsia="方正仿宋简体"/>
          <w:color w:val="000000" w:themeColor="text1"/>
          <w:sz w:val="32"/>
          <w:szCs w:val="32"/>
          <w14:textFill>
            <w14:solidFill>
              <w14:schemeClr w14:val="tx1"/>
            </w14:solidFill>
          </w14:textFill>
        </w:rPr>
      </w:pPr>
      <w:r>
        <w:rPr>
          <w:rFonts w:hAnsi="方正仿宋简体" w:eastAsia="方正仿宋简体"/>
          <w:color w:val="000000" w:themeColor="text1"/>
          <w:sz w:val="32"/>
          <w:szCs w:val="32"/>
          <w14:textFill>
            <w14:solidFill>
              <w14:schemeClr w14:val="tx1"/>
            </w14:solidFill>
          </w14:textFill>
        </w:rPr>
        <w:t>图</w:t>
      </w:r>
      <w:r>
        <w:rPr>
          <w:rFonts w:eastAsia="方正仿宋简体"/>
          <w:color w:val="000000" w:themeColor="text1"/>
          <w:sz w:val="32"/>
          <w:szCs w:val="32"/>
          <w14:textFill>
            <w14:solidFill>
              <w14:schemeClr w14:val="tx1"/>
            </w14:solidFill>
          </w14:textFill>
        </w:rPr>
        <w:t>4</w:t>
      </w:r>
      <w:r>
        <w:rPr>
          <w:rFonts w:hAnsi="方正仿宋简体" w:eastAsia="方正仿宋简体"/>
          <w:color w:val="000000" w:themeColor="text1"/>
          <w:sz w:val="32"/>
          <w:szCs w:val="32"/>
          <w14:textFill>
            <w14:solidFill>
              <w14:schemeClr w14:val="tx1"/>
            </w14:solidFill>
          </w14:textFill>
        </w:rPr>
        <w:t>：财政拨款收、支决算总计变动情况</w:t>
      </w:r>
    </w:p>
    <w:p>
      <w:pPr>
        <w:spacing w:line="600" w:lineRule="exact"/>
        <w:ind w:firstLine="640" w:firstLineChars="200"/>
        <w:outlineLvl w:val="1"/>
        <w:rPr>
          <w:rStyle w:val="28"/>
          <w:rFonts w:ascii="Times New Roman" w:hAnsi="Times New Roman" w:eastAsia="方正黑体简体" w:cs="Times New Roman"/>
          <w:b w:val="0"/>
        </w:rPr>
      </w:pPr>
      <w:bookmarkStart w:id="46" w:name="_Toc80458054"/>
      <w:r>
        <w:rPr>
          <w:rFonts w:hAnsi="方正黑体简体" w:eastAsia="方正黑体简体"/>
          <w:color w:val="000000"/>
          <w:sz w:val="32"/>
          <w:szCs w:val="32"/>
        </w:rPr>
        <w:t>五、一</w:t>
      </w:r>
      <w:r>
        <w:rPr>
          <w:rStyle w:val="28"/>
          <w:rFonts w:ascii="Times New Roman" w:hAnsi="方正黑体简体" w:eastAsia="方正黑体简体" w:cs="Times New Roman"/>
          <w:b w:val="0"/>
        </w:rPr>
        <w:t>般公共预算财政拨款支出决算情况说明</w:t>
      </w:r>
      <w:bookmarkEnd w:id="44"/>
      <w:bookmarkEnd w:id="45"/>
      <w:bookmarkEnd w:id="46"/>
    </w:p>
    <w:p>
      <w:pPr>
        <w:spacing w:line="600" w:lineRule="exact"/>
        <w:ind w:firstLine="640" w:firstLineChars="200"/>
        <w:outlineLvl w:val="2"/>
        <w:rPr>
          <w:rFonts w:eastAsia="方正楷体简体"/>
          <w:bCs/>
          <w:color w:val="000000"/>
          <w:sz w:val="32"/>
          <w:szCs w:val="32"/>
        </w:rPr>
      </w:pPr>
      <w:bookmarkStart w:id="47" w:name="_Toc80458055"/>
      <w:bookmarkStart w:id="48" w:name="_Toc15377210"/>
      <w:bookmarkStart w:id="49" w:name="_Toc80456664"/>
      <w:r>
        <w:rPr>
          <w:rFonts w:hAnsi="方正楷体简体" w:eastAsia="方正楷体简体"/>
          <w:bCs/>
          <w:color w:val="000000"/>
          <w:sz w:val="32"/>
          <w:szCs w:val="32"/>
        </w:rPr>
        <w:t>（一）一般公共预算财政拨款支出决算总体情况</w:t>
      </w:r>
      <w:bookmarkEnd w:id="47"/>
      <w:bookmarkEnd w:id="48"/>
      <w:bookmarkEnd w:id="49"/>
    </w:p>
    <w:p>
      <w:pPr>
        <w:spacing w:line="600" w:lineRule="exact"/>
        <w:ind w:firstLine="640" w:firstLineChars="200"/>
        <w:rPr>
          <w:rFonts w:eastAsia="方正仿宋简体"/>
          <w:color w:val="000000"/>
          <w:sz w:val="32"/>
          <w:szCs w:val="32"/>
        </w:rPr>
      </w:pPr>
      <w:r>
        <w:rPr>
          <w:rFonts w:eastAsia="方正仿宋简体"/>
          <w:color w:val="000000"/>
          <w:sz w:val="32"/>
          <w:szCs w:val="32"/>
        </w:rPr>
        <w:t>2022</w:t>
      </w:r>
      <w:r>
        <w:rPr>
          <w:rFonts w:hAnsi="方正仿宋简体" w:eastAsia="方正仿宋简体"/>
          <w:color w:val="000000"/>
          <w:sz w:val="32"/>
          <w:szCs w:val="32"/>
        </w:rPr>
        <w:t>年一般公共预算财政拨款支出</w:t>
      </w:r>
      <w:r>
        <w:rPr>
          <w:rFonts w:eastAsia="方正仿宋简体"/>
          <w:color w:val="000000"/>
          <w:sz w:val="32"/>
          <w:szCs w:val="32"/>
        </w:rPr>
        <w:t>501.76</w:t>
      </w:r>
      <w:r>
        <w:rPr>
          <w:rFonts w:hAnsi="方正仿宋简体" w:eastAsia="方正仿宋简体"/>
          <w:color w:val="000000"/>
          <w:sz w:val="32"/>
          <w:szCs w:val="32"/>
        </w:rPr>
        <w:t>万元，占本年支出合计的</w:t>
      </w:r>
      <w:r>
        <w:rPr>
          <w:rFonts w:eastAsia="方正仿宋简体"/>
          <w:color w:val="000000"/>
          <w:sz w:val="32"/>
          <w:szCs w:val="32"/>
        </w:rPr>
        <w:t>38.05%</w:t>
      </w:r>
      <w:r>
        <w:rPr>
          <w:rFonts w:hAnsi="方正仿宋简体" w:eastAsia="方正仿宋简体"/>
          <w:color w:val="000000"/>
          <w:sz w:val="32"/>
          <w:szCs w:val="32"/>
        </w:rPr>
        <w:t>。与</w:t>
      </w:r>
      <w:r>
        <w:rPr>
          <w:rFonts w:eastAsia="方正仿宋简体"/>
          <w:color w:val="000000"/>
          <w:sz w:val="32"/>
          <w:szCs w:val="32"/>
        </w:rPr>
        <w:t>2021</w:t>
      </w:r>
      <w:r>
        <w:rPr>
          <w:rFonts w:hAnsi="方正仿宋简体" w:eastAsia="方正仿宋简体"/>
          <w:color w:val="000000"/>
          <w:sz w:val="32"/>
          <w:szCs w:val="32"/>
        </w:rPr>
        <w:t>年相比，一般公共预算财政拨款增加</w:t>
      </w:r>
      <w:r>
        <w:rPr>
          <w:rFonts w:eastAsia="方正仿宋简体"/>
          <w:color w:val="000000"/>
          <w:sz w:val="32"/>
          <w:szCs w:val="32"/>
        </w:rPr>
        <w:t>27.2</w:t>
      </w:r>
      <w:r>
        <w:rPr>
          <w:rFonts w:hint="eastAsia" w:eastAsia="方正仿宋简体"/>
          <w:color w:val="000000"/>
          <w:sz w:val="32"/>
          <w:szCs w:val="32"/>
          <w:lang w:val="en-US" w:eastAsia="zh-CN"/>
        </w:rPr>
        <w:t>7</w:t>
      </w:r>
      <w:r>
        <w:rPr>
          <w:rFonts w:hAnsi="方正仿宋简体" w:eastAsia="方正仿宋简体"/>
          <w:color w:val="000000"/>
          <w:sz w:val="32"/>
          <w:szCs w:val="32"/>
        </w:rPr>
        <w:t>万元，增加</w:t>
      </w:r>
      <w:r>
        <w:rPr>
          <w:rFonts w:eastAsia="方正仿宋简体"/>
          <w:color w:val="000000"/>
          <w:sz w:val="32"/>
          <w:szCs w:val="32"/>
        </w:rPr>
        <w:t>5.75%</w:t>
      </w:r>
      <w:r>
        <w:rPr>
          <w:rFonts w:hAnsi="方正仿宋简体" w:eastAsia="方正仿宋简体"/>
          <w:color w:val="000000"/>
          <w:sz w:val="32"/>
          <w:szCs w:val="32"/>
        </w:rPr>
        <w:t>。主要变动原因是</w:t>
      </w:r>
      <w:r>
        <w:rPr>
          <w:rFonts w:hint="eastAsia" w:hAnsi="方正仿宋简体" w:eastAsia="方正仿宋简体"/>
          <w:color w:val="000000"/>
          <w:sz w:val="32"/>
          <w:szCs w:val="32"/>
        </w:rPr>
        <w:t>人员经费增加，对应安排的基本支出增加。</w:t>
      </w:r>
    </w:p>
    <w:p>
      <w:pPr>
        <w:spacing w:line="600" w:lineRule="exact"/>
        <w:ind w:firstLine="640" w:firstLineChars="200"/>
        <w:rPr>
          <w:rFonts w:eastAsia="方正仿宋简体"/>
          <w:color w:val="000000"/>
          <w:sz w:val="32"/>
          <w:szCs w:val="32"/>
        </w:rPr>
      </w:pPr>
    </w:p>
    <w:p>
      <w:pPr>
        <w:spacing w:line="600" w:lineRule="exact"/>
        <w:ind w:firstLine="640" w:firstLineChars="200"/>
        <w:rPr>
          <w:rFonts w:eastAsia="方正仿宋简体"/>
          <w:color w:val="000000"/>
          <w:sz w:val="32"/>
          <w:szCs w:val="32"/>
        </w:rPr>
      </w:pPr>
    </w:p>
    <w:p>
      <w:pPr>
        <w:spacing w:line="200" w:lineRule="exact"/>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drawing>
          <wp:anchor distT="0" distB="0" distL="114300" distR="114300" simplePos="0" relativeHeight="251661312" behindDoc="0" locked="0" layoutInCell="1" allowOverlap="1">
            <wp:simplePos x="0" y="0"/>
            <wp:positionH relativeFrom="margin">
              <wp:posOffset>140335</wp:posOffset>
            </wp:positionH>
            <wp:positionV relativeFrom="margin">
              <wp:posOffset>48260</wp:posOffset>
            </wp:positionV>
            <wp:extent cx="5274310" cy="3076575"/>
            <wp:effectExtent l="0" t="0" r="21590" b="952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jc w:val="center"/>
        <w:rPr>
          <w:rFonts w:eastAsia="方正仿宋简体"/>
          <w:color w:val="000000" w:themeColor="text1"/>
          <w:sz w:val="32"/>
          <w:szCs w:val="32"/>
          <w14:textFill>
            <w14:solidFill>
              <w14:schemeClr w14:val="tx1"/>
            </w14:solidFill>
          </w14:textFill>
        </w:rPr>
      </w:pPr>
      <w:r>
        <w:rPr>
          <w:rFonts w:hAnsi="方正仿宋简体" w:eastAsia="方正仿宋简体"/>
          <w:color w:val="000000" w:themeColor="text1"/>
          <w:sz w:val="32"/>
          <w:szCs w:val="32"/>
          <w14:textFill>
            <w14:solidFill>
              <w14:schemeClr w14:val="tx1"/>
            </w14:solidFill>
          </w14:textFill>
        </w:rPr>
        <w:t>图</w:t>
      </w:r>
      <w:r>
        <w:rPr>
          <w:rFonts w:eastAsia="方正仿宋简体"/>
          <w:color w:val="000000" w:themeColor="text1"/>
          <w:sz w:val="32"/>
          <w:szCs w:val="32"/>
          <w14:textFill>
            <w14:solidFill>
              <w14:schemeClr w14:val="tx1"/>
            </w14:solidFill>
          </w14:textFill>
        </w:rPr>
        <w:t>5</w:t>
      </w:r>
      <w:bookmarkStart w:id="50" w:name="_Toc15377211"/>
      <w:r>
        <w:rPr>
          <w:rFonts w:hAnsi="方正仿宋简体" w:eastAsia="方正仿宋简体"/>
          <w:color w:val="000000" w:themeColor="text1"/>
          <w:sz w:val="32"/>
          <w:szCs w:val="32"/>
          <w14:textFill>
            <w14:solidFill>
              <w14:schemeClr w14:val="tx1"/>
            </w14:solidFill>
          </w14:textFill>
        </w:rPr>
        <w:t>：一般公共预算财政拨款支出决算变动情况</w:t>
      </w:r>
    </w:p>
    <w:p>
      <w:pPr>
        <w:spacing w:line="600" w:lineRule="exact"/>
        <w:ind w:firstLine="640" w:firstLineChars="200"/>
        <w:outlineLvl w:val="2"/>
        <w:rPr>
          <w:rFonts w:eastAsia="方正楷体简体"/>
          <w:bCs/>
          <w:color w:val="000000"/>
          <w:sz w:val="32"/>
          <w:szCs w:val="32"/>
        </w:rPr>
      </w:pPr>
      <w:bookmarkStart w:id="51" w:name="_Toc80456665"/>
      <w:bookmarkStart w:id="52" w:name="_Toc80458056"/>
      <w:r>
        <w:rPr>
          <w:rFonts w:hAnsi="方正楷体简体" w:eastAsia="方正楷体简体"/>
          <w:bCs/>
          <w:color w:val="000000"/>
          <w:sz w:val="32"/>
          <w:szCs w:val="32"/>
        </w:rPr>
        <w:t>（二）一般公共预算财政拨款支出决算结构情况</w:t>
      </w:r>
      <w:bookmarkEnd w:id="50"/>
      <w:bookmarkEnd w:id="51"/>
      <w:bookmarkEnd w:id="52"/>
    </w:p>
    <w:p>
      <w:pPr>
        <w:spacing w:line="600" w:lineRule="exact"/>
        <w:ind w:firstLine="640"/>
        <w:rPr>
          <w:rFonts w:eastAsia="方正仿宋简体"/>
          <w:color w:val="000000" w:themeColor="text1"/>
          <w:sz w:val="32"/>
          <w:szCs w:val="32"/>
          <w14:textFill>
            <w14:solidFill>
              <w14:schemeClr w14:val="tx1"/>
            </w14:solidFill>
          </w14:textFill>
        </w:rPr>
      </w:pPr>
      <w:r>
        <w:rPr>
          <w:rFonts w:eastAsia="方正仿宋简体"/>
          <w:color w:val="000000" w:themeColor="text1"/>
          <w:sz w:val="32"/>
          <w:szCs w:val="32"/>
          <w14:textFill>
            <w14:solidFill>
              <w14:schemeClr w14:val="tx1"/>
            </w14:solidFill>
          </w14:textFill>
        </w:rPr>
        <w:t>2022</w:t>
      </w:r>
      <w:r>
        <w:rPr>
          <w:rFonts w:hAnsi="方正仿宋简体" w:eastAsia="方正仿宋简体"/>
          <w:color w:val="000000" w:themeColor="text1"/>
          <w:sz w:val="32"/>
          <w:szCs w:val="32"/>
          <w14:textFill>
            <w14:solidFill>
              <w14:schemeClr w14:val="tx1"/>
            </w14:solidFill>
          </w14:textFill>
        </w:rPr>
        <w:t>年一般公共预算财政拨款支出</w:t>
      </w:r>
      <w:r>
        <w:rPr>
          <w:rFonts w:eastAsia="方正仿宋简体"/>
          <w:color w:val="000000" w:themeColor="text1"/>
          <w:sz w:val="32"/>
          <w:szCs w:val="32"/>
          <w14:textFill>
            <w14:solidFill>
              <w14:schemeClr w14:val="tx1"/>
            </w14:solidFill>
          </w14:textFill>
        </w:rPr>
        <w:t>501.76</w:t>
      </w:r>
      <w:r>
        <w:rPr>
          <w:rFonts w:hAnsi="方正仿宋简体" w:eastAsia="方正仿宋简体"/>
          <w:color w:val="000000" w:themeColor="text1"/>
          <w:sz w:val="32"/>
          <w:szCs w:val="32"/>
          <w14:textFill>
            <w14:solidFill>
              <w14:schemeClr w14:val="tx1"/>
            </w14:solidFill>
          </w14:textFill>
        </w:rPr>
        <w:t>万元，主要用于以下方面：</w:t>
      </w:r>
      <w:r>
        <w:rPr>
          <w:rFonts w:hAnsi="方正仿宋简体" w:eastAsia="方正仿宋简体"/>
          <w:b/>
          <w:bCs/>
          <w:color w:val="000000" w:themeColor="text1"/>
          <w:sz w:val="32"/>
          <w:szCs w:val="32"/>
          <w14:textFill>
            <w14:solidFill>
              <w14:schemeClr w14:val="tx1"/>
            </w14:solidFill>
          </w14:textFill>
        </w:rPr>
        <w:t>教育支出</w:t>
      </w:r>
      <w:r>
        <w:rPr>
          <w:rFonts w:eastAsia="方正仿宋简体"/>
          <w:color w:val="000000" w:themeColor="text1"/>
          <w:sz w:val="32"/>
          <w:szCs w:val="32"/>
          <w14:textFill>
            <w14:solidFill>
              <w14:schemeClr w14:val="tx1"/>
            </w14:solidFill>
          </w14:textFill>
        </w:rPr>
        <w:t>9.42</w:t>
      </w:r>
      <w:r>
        <w:rPr>
          <w:rFonts w:hAnsi="方正仿宋简体" w:eastAsia="方正仿宋简体"/>
          <w:color w:val="000000" w:themeColor="text1"/>
          <w:sz w:val="32"/>
          <w:szCs w:val="32"/>
          <w14:textFill>
            <w14:solidFill>
              <w14:schemeClr w14:val="tx1"/>
            </w14:solidFill>
          </w14:textFill>
        </w:rPr>
        <w:t>万元，占</w:t>
      </w:r>
      <w:r>
        <w:rPr>
          <w:rFonts w:eastAsia="方正仿宋简体"/>
          <w:color w:val="000000" w:themeColor="text1"/>
          <w:sz w:val="32"/>
          <w:szCs w:val="32"/>
          <w14:textFill>
            <w14:solidFill>
              <w14:schemeClr w14:val="tx1"/>
            </w14:solidFill>
          </w14:textFill>
        </w:rPr>
        <w:t>1.87%</w:t>
      </w:r>
      <w:r>
        <w:rPr>
          <w:rFonts w:hAnsi="方正仿宋简体" w:eastAsia="方正仿宋简体"/>
          <w:color w:val="000000" w:themeColor="text1"/>
          <w:sz w:val="32"/>
          <w:szCs w:val="32"/>
          <w14:textFill>
            <w14:solidFill>
              <w14:schemeClr w14:val="tx1"/>
            </w14:solidFill>
          </w14:textFill>
        </w:rPr>
        <w:t>；</w:t>
      </w:r>
      <w:r>
        <w:rPr>
          <w:rFonts w:hAnsi="方正仿宋简体" w:eastAsia="方正仿宋简体"/>
          <w:b/>
          <w:bCs/>
          <w:color w:val="000000" w:themeColor="text1"/>
          <w:sz w:val="32"/>
          <w:szCs w:val="32"/>
          <w14:textFill>
            <w14:solidFill>
              <w14:schemeClr w14:val="tx1"/>
            </w14:solidFill>
          </w14:textFill>
        </w:rPr>
        <w:t>社会保障和就业支出</w:t>
      </w:r>
      <w:r>
        <w:rPr>
          <w:rFonts w:eastAsia="方正仿宋简体"/>
          <w:color w:val="000000" w:themeColor="text1"/>
          <w:sz w:val="32"/>
          <w:szCs w:val="32"/>
          <w14:textFill>
            <w14:solidFill>
              <w14:schemeClr w14:val="tx1"/>
            </w14:solidFill>
          </w14:textFill>
        </w:rPr>
        <w:t>425.54</w:t>
      </w:r>
      <w:r>
        <w:rPr>
          <w:rFonts w:hAnsi="方正仿宋简体" w:eastAsia="方正仿宋简体"/>
          <w:color w:val="000000" w:themeColor="text1"/>
          <w:sz w:val="32"/>
          <w:szCs w:val="32"/>
          <w14:textFill>
            <w14:solidFill>
              <w14:schemeClr w14:val="tx1"/>
            </w14:solidFill>
          </w14:textFill>
        </w:rPr>
        <w:t>万元，占</w:t>
      </w:r>
      <w:r>
        <w:rPr>
          <w:rFonts w:eastAsia="方正仿宋简体"/>
          <w:color w:val="000000" w:themeColor="text1"/>
          <w:sz w:val="32"/>
          <w:szCs w:val="32"/>
          <w14:textFill>
            <w14:solidFill>
              <w14:schemeClr w14:val="tx1"/>
            </w14:solidFill>
          </w14:textFill>
        </w:rPr>
        <w:t>84.81%</w:t>
      </w:r>
      <w:r>
        <w:rPr>
          <w:rFonts w:hAnsi="方正仿宋简体" w:eastAsia="方正仿宋简体"/>
          <w:color w:val="000000" w:themeColor="text1"/>
          <w:sz w:val="32"/>
          <w:szCs w:val="32"/>
          <w14:textFill>
            <w14:solidFill>
              <w14:schemeClr w14:val="tx1"/>
            </w14:solidFill>
          </w14:textFill>
        </w:rPr>
        <w:t>；</w:t>
      </w:r>
      <w:r>
        <w:rPr>
          <w:rFonts w:hAnsi="方正仿宋简体" w:eastAsia="方正仿宋简体"/>
          <w:b/>
          <w:color w:val="000000" w:themeColor="text1"/>
          <w:sz w:val="32"/>
          <w:szCs w:val="32"/>
          <w14:textFill>
            <w14:solidFill>
              <w14:schemeClr w14:val="tx1"/>
            </w14:solidFill>
          </w14:textFill>
        </w:rPr>
        <w:t>卫生健康支出</w:t>
      </w:r>
      <w:r>
        <w:rPr>
          <w:rFonts w:eastAsia="方正仿宋简体"/>
          <w:color w:val="000000" w:themeColor="text1"/>
          <w:sz w:val="32"/>
          <w:szCs w:val="32"/>
          <w14:textFill>
            <w14:solidFill>
              <w14:schemeClr w14:val="tx1"/>
            </w14:solidFill>
          </w14:textFill>
        </w:rPr>
        <w:t>20.00</w:t>
      </w:r>
      <w:r>
        <w:rPr>
          <w:rFonts w:hAnsi="方正仿宋简体" w:eastAsia="方正仿宋简体"/>
          <w:color w:val="000000" w:themeColor="text1"/>
          <w:sz w:val="32"/>
          <w:szCs w:val="32"/>
          <w14:textFill>
            <w14:solidFill>
              <w14:schemeClr w14:val="tx1"/>
            </w14:solidFill>
          </w14:textFill>
        </w:rPr>
        <w:t>万元，占</w:t>
      </w:r>
      <w:r>
        <w:rPr>
          <w:rFonts w:eastAsia="方正仿宋简体"/>
          <w:color w:val="000000" w:themeColor="text1"/>
          <w:sz w:val="32"/>
          <w:szCs w:val="32"/>
          <w14:textFill>
            <w14:solidFill>
              <w14:schemeClr w14:val="tx1"/>
            </w14:solidFill>
          </w14:textFill>
        </w:rPr>
        <w:t>3.99%</w:t>
      </w:r>
      <w:r>
        <w:rPr>
          <w:rFonts w:hAnsi="方正仿宋简体" w:eastAsia="方正仿宋简体"/>
          <w:color w:val="000000" w:themeColor="text1"/>
          <w:sz w:val="32"/>
          <w:szCs w:val="32"/>
          <w14:textFill>
            <w14:solidFill>
              <w14:schemeClr w14:val="tx1"/>
            </w14:solidFill>
          </w14:textFill>
        </w:rPr>
        <w:t>；</w:t>
      </w:r>
      <w:r>
        <w:rPr>
          <w:rFonts w:hAnsi="方正仿宋简体" w:eastAsia="方正仿宋简体"/>
          <w:b/>
          <w:bCs/>
          <w:color w:val="000000" w:themeColor="text1"/>
          <w:sz w:val="32"/>
          <w:szCs w:val="32"/>
          <w14:textFill>
            <w14:solidFill>
              <w14:schemeClr w14:val="tx1"/>
            </w14:solidFill>
          </w14:textFill>
        </w:rPr>
        <w:t>住房保障支出</w:t>
      </w:r>
      <w:r>
        <w:rPr>
          <w:rFonts w:eastAsia="方正仿宋简体"/>
          <w:color w:val="000000" w:themeColor="text1"/>
          <w:sz w:val="32"/>
          <w:szCs w:val="32"/>
          <w14:textFill>
            <w14:solidFill>
              <w14:schemeClr w14:val="tx1"/>
            </w14:solidFill>
          </w14:textFill>
        </w:rPr>
        <w:t>46.80</w:t>
      </w:r>
      <w:r>
        <w:rPr>
          <w:rFonts w:hAnsi="方正仿宋简体" w:eastAsia="方正仿宋简体"/>
          <w:color w:val="000000" w:themeColor="text1"/>
          <w:sz w:val="32"/>
          <w:szCs w:val="32"/>
          <w14:textFill>
            <w14:solidFill>
              <w14:schemeClr w14:val="tx1"/>
            </w14:solidFill>
          </w14:textFill>
        </w:rPr>
        <w:t>万元，占</w:t>
      </w:r>
      <w:r>
        <w:rPr>
          <w:rFonts w:eastAsia="方正仿宋简体"/>
          <w:color w:val="000000" w:themeColor="text1"/>
          <w:sz w:val="32"/>
          <w:szCs w:val="32"/>
          <w14:textFill>
            <w14:solidFill>
              <w14:schemeClr w14:val="tx1"/>
            </w14:solidFill>
          </w14:textFill>
        </w:rPr>
        <w:t>9.33%</w:t>
      </w:r>
      <w:r>
        <w:rPr>
          <w:rFonts w:hAnsi="方正仿宋简体" w:eastAsia="方正仿宋简体"/>
          <w:color w:val="000000" w:themeColor="text1"/>
          <w:sz w:val="32"/>
          <w:szCs w:val="32"/>
          <w14:textFill>
            <w14:solidFill>
              <w14:schemeClr w14:val="tx1"/>
            </w14:solidFill>
          </w14:textFill>
        </w:rPr>
        <w:t>。</w:t>
      </w:r>
    </w:p>
    <w:p>
      <w:pPr>
        <w:pStyle w:val="2"/>
        <w:spacing w:beforeLines="0"/>
        <w:rPr>
          <w:rFonts w:ascii="Times New Roman"/>
        </w:rPr>
      </w:pPr>
      <w:bookmarkStart w:id="53" w:name="_Toc15377212"/>
      <w:r>
        <w:rPr>
          <w:rFonts w:eastAsia="方正仿宋简体"/>
          <w:color w:val="000000"/>
          <w:sz w:val="32"/>
          <w:szCs w:val="32"/>
        </w:rPr>
        <w:drawing>
          <wp:anchor distT="0" distB="0" distL="114300" distR="114300" simplePos="0" relativeHeight="251663360" behindDoc="0" locked="0" layoutInCell="1" allowOverlap="1">
            <wp:simplePos x="0" y="0"/>
            <wp:positionH relativeFrom="margin">
              <wp:posOffset>530860</wp:posOffset>
            </wp:positionH>
            <wp:positionV relativeFrom="paragraph">
              <wp:posOffset>410210</wp:posOffset>
            </wp:positionV>
            <wp:extent cx="4530090" cy="2308225"/>
            <wp:effectExtent l="4445" t="4445" r="18415" b="11430"/>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jc w:val="center"/>
        <w:rPr>
          <w:rFonts w:eastAsia="方正仿宋简体"/>
          <w:color w:val="000000"/>
          <w:sz w:val="32"/>
          <w:szCs w:val="32"/>
        </w:rPr>
      </w:pPr>
      <w:r>
        <w:rPr>
          <w:rFonts w:hAnsi="方正仿宋简体" w:eastAsia="方正仿宋简体"/>
          <w:color w:val="000000"/>
          <w:sz w:val="32"/>
          <w:szCs w:val="32"/>
        </w:rPr>
        <w:t>图</w:t>
      </w:r>
      <w:r>
        <w:rPr>
          <w:rFonts w:eastAsia="方正仿宋简体"/>
          <w:color w:val="000000"/>
          <w:sz w:val="32"/>
          <w:szCs w:val="32"/>
        </w:rPr>
        <w:t>6</w:t>
      </w:r>
      <w:r>
        <w:rPr>
          <w:rFonts w:hAnsi="方正仿宋简体" w:eastAsia="方正仿宋简体"/>
          <w:color w:val="000000"/>
          <w:sz w:val="32"/>
          <w:szCs w:val="32"/>
        </w:rPr>
        <w:t>：一般公共预算财政拨款支出决算结构</w:t>
      </w:r>
    </w:p>
    <w:p>
      <w:pPr>
        <w:spacing w:line="600" w:lineRule="exact"/>
        <w:ind w:firstLine="640" w:firstLineChars="200"/>
        <w:outlineLvl w:val="2"/>
        <w:rPr>
          <w:rFonts w:eastAsia="方正楷体简体"/>
          <w:bCs/>
          <w:color w:val="000000"/>
          <w:sz w:val="32"/>
          <w:szCs w:val="32"/>
        </w:rPr>
      </w:pPr>
      <w:bookmarkStart w:id="54" w:name="_Toc80458057"/>
      <w:bookmarkStart w:id="55" w:name="_Toc80456666"/>
      <w:r>
        <w:rPr>
          <w:rFonts w:hAnsi="方正楷体简体" w:eastAsia="方正楷体简体"/>
          <w:bCs/>
          <w:color w:val="000000"/>
          <w:sz w:val="32"/>
          <w:szCs w:val="32"/>
        </w:rPr>
        <w:t>（三）一般公共预算财政拨款支出决算具体情况</w:t>
      </w:r>
      <w:bookmarkEnd w:id="53"/>
      <w:bookmarkEnd w:id="54"/>
      <w:bookmarkEnd w:id="55"/>
    </w:p>
    <w:p>
      <w:pPr>
        <w:spacing w:line="600" w:lineRule="exact"/>
        <w:ind w:firstLine="640" w:firstLineChars="200"/>
        <w:outlineLvl w:val="2"/>
        <w:rPr>
          <w:rStyle w:val="16"/>
          <w:rFonts w:eastAsia="方正仿宋简体"/>
          <w:b w:val="0"/>
          <w:bCs/>
          <w:color w:val="000000"/>
          <w:sz w:val="32"/>
          <w:szCs w:val="32"/>
        </w:rPr>
      </w:pPr>
      <w:bookmarkStart w:id="56" w:name="_Toc15378460"/>
      <w:bookmarkStart w:id="57" w:name="_Toc80458058"/>
      <w:bookmarkStart w:id="58" w:name="_Toc80456667"/>
      <w:bookmarkStart w:id="59" w:name="_Toc15377444"/>
      <w:bookmarkStart w:id="60" w:name="_Toc15377213"/>
      <w:r>
        <w:rPr>
          <w:rFonts w:eastAsia="方正仿宋简体"/>
          <w:color w:val="000000" w:themeColor="text1"/>
          <w:sz w:val="32"/>
          <w:szCs w:val="32"/>
          <w14:textFill>
            <w14:solidFill>
              <w14:schemeClr w14:val="tx1"/>
            </w14:solidFill>
          </w14:textFill>
        </w:rPr>
        <w:t>2022</w:t>
      </w:r>
      <w:r>
        <w:rPr>
          <w:rFonts w:hAnsi="方正仿宋简体" w:eastAsia="方正仿宋简体"/>
          <w:color w:val="000000" w:themeColor="text1"/>
          <w:sz w:val="32"/>
          <w:szCs w:val="32"/>
          <w14:textFill>
            <w14:solidFill>
              <w14:schemeClr w14:val="tx1"/>
            </w14:solidFill>
          </w14:textFill>
        </w:rPr>
        <w:t>年一般公共预算支出决算数为</w:t>
      </w:r>
      <w:r>
        <w:rPr>
          <w:rFonts w:eastAsia="方正仿宋简体"/>
          <w:color w:val="000000" w:themeColor="text1"/>
          <w:sz w:val="32"/>
          <w:szCs w:val="32"/>
          <w14:textFill>
            <w14:solidFill>
              <w14:schemeClr w14:val="tx1"/>
            </w14:solidFill>
          </w14:textFill>
        </w:rPr>
        <w:t>501.76</w:t>
      </w:r>
      <w:r>
        <w:rPr>
          <w:rFonts w:hAnsi="方正仿宋简体" w:eastAsia="方正仿宋简体"/>
          <w:color w:val="000000" w:themeColor="text1"/>
          <w:sz w:val="32"/>
          <w:szCs w:val="32"/>
          <w14:textFill>
            <w14:solidFill>
              <w14:schemeClr w14:val="tx1"/>
            </w14:solidFill>
          </w14:textFill>
        </w:rPr>
        <w:t>万元，</w:t>
      </w:r>
      <w:r>
        <w:rPr>
          <w:rStyle w:val="16"/>
          <w:rFonts w:hAnsi="方正仿宋简体" w:eastAsia="方正仿宋简体"/>
          <w:b w:val="0"/>
          <w:bCs/>
          <w:color w:val="000000" w:themeColor="text1"/>
          <w:sz w:val="32"/>
          <w:szCs w:val="32"/>
          <w14:textFill>
            <w14:solidFill>
              <w14:schemeClr w14:val="tx1"/>
            </w14:solidFill>
          </w14:textFill>
        </w:rPr>
        <w:t>完成</w:t>
      </w:r>
      <w:r>
        <w:rPr>
          <w:rStyle w:val="16"/>
          <w:rFonts w:hAnsi="方正仿宋简体" w:eastAsia="方正仿宋简体"/>
          <w:b w:val="0"/>
          <w:bCs/>
          <w:color w:val="000000"/>
          <w:sz w:val="32"/>
          <w:szCs w:val="32"/>
        </w:rPr>
        <w:t>预算</w:t>
      </w:r>
      <w:r>
        <w:rPr>
          <w:rStyle w:val="16"/>
          <w:rFonts w:eastAsia="方正仿宋简体"/>
          <w:b w:val="0"/>
          <w:bCs/>
          <w:color w:val="000000"/>
          <w:sz w:val="32"/>
          <w:szCs w:val="32"/>
        </w:rPr>
        <w:t>100%</w:t>
      </w:r>
      <w:r>
        <w:rPr>
          <w:rStyle w:val="16"/>
          <w:rFonts w:hAnsi="方正仿宋简体" w:eastAsia="方正仿宋简体"/>
          <w:b w:val="0"/>
          <w:bCs/>
          <w:color w:val="000000"/>
          <w:sz w:val="32"/>
          <w:szCs w:val="32"/>
        </w:rPr>
        <w:t>。其中：</w:t>
      </w:r>
      <w:bookmarkEnd w:id="56"/>
      <w:bookmarkEnd w:id="57"/>
      <w:bookmarkEnd w:id="58"/>
      <w:bookmarkEnd w:id="59"/>
      <w:bookmarkEnd w:id="60"/>
    </w:p>
    <w:p>
      <w:pPr>
        <w:spacing w:line="600" w:lineRule="exact"/>
        <w:ind w:firstLine="640" w:firstLineChars="200"/>
        <w:rPr>
          <w:rFonts w:eastAsia="方正仿宋简体"/>
          <w:bCs/>
          <w:color w:val="000000"/>
          <w:sz w:val="32"/>
          <w:szCs w:val="32"/>
        </w:rPr>
      </w:pPr>
      <w:r>
        <w:rPr>
          <w:rStyle w:val="16"/>
          <w:rFonts w:eastAsia="方正仿宋简体"/>
          <w:b w:val="0"/>
          <w:bCs/>
          <w:color w:val="000000"/>
          <w:sz w:val="32"/>
          <w:szCs w:val="32"/>
        </w:rPr>
        <w:t>1.</w:t>
      </w:r>
      <w:r>
        <w:rPr>
          <w:rStyle w:val="16"/>
          <w:rFonts w:hAnsi="方正仿宋简体" w:eastAsia="方正仿宋简体"/>
          <w:color w:val="000000"/>
          <w:sz w:val="32"/>
          <w:szCs w:val="32"/>
        </w:rPr>
        <w:t>教育支出（类）进修及培训（款）培训支出（项）</w:t>
      </w:r>
      <w:r>
        <w:rPr>
          <w:rStyle w:val="16"/>
          <w:rFonts w:hint="eastAsia" w:eastAsia="方正仿宋简体"/>
          <w:b w:val="0"/>
          <w:bCs/>
          <w:color w:val="000000"/>
          <w:sz w:val="32"/>
          <w:szCs w:val="32"/>
          <w:lang w:val="en-US" w:eastAsia="zh-CN"/>
        </w:rPr>
        <w:t>：</w:t>
      </w:r>
      <w:r>
        <w:rPr>
          <w:rStyle w:val="16"/>
          <w:rFonts w:hAnsi="方正仿宋简体" w:eastAsia="方正仿宋简体"/>
          <w:b w:val="0"/>
          <w:bCs/>
          <w:color w:val="000000"/>
          <w:sz w:val="32"/>
          <w:szCs w:val="32"/>
        </w:rPr>
        <w:t>支出决算为</w:t>
      </w:r>
      <w:r>
        <w:rPr>
          <w:rStyle w:val="16"/>
          <w:rFonts w:eastAsia="方正仿宋简体"/>
          <w:b w:val="0"/>
          <w:bCs/>
          <w:color w:val="000000"/>
          <w:sz w:val="32"/>
          <w:szCs w:val="32"/>
        </w:rPr>
        <w:t>9.42</w:t>
      </w:r>
      <w:r>
        <w:rPr>
          <w:rStyle w:val="16"/>
          <w:rFonts w:hAnsi="方正仿宋简体" w:eastAsia="方正仿宋简体"/>
          <w:b w:val="0"/>
          <w:bCs/>
          <w:color w:val="000000"/>
          <w:sz w:val="32"/>
          <w:szCs w:val="32"/>
        </w:rPr>
        <w:t>万元，完成预算</w:t>
      </w:r>
      <w:r>
        <w:rPr>
          <w:rStyle w:val="16"/>
          <w:rFonts w:eastAsia="方正仿宋简体"/>
          <w:b w:val="0"/>
          <w:bCs/>
          <w:color w:val="000000"/>
          <w:sz w:val="32"/>
          <w:szCs w:val="32"/>
        </w:rPr>
        <w:t>100%</w:t>
      </w:r>
      <w:r>
        <w:rPr>
          <w:rStyle w:val="16"/>
          <w:rFonts w:hAnsi="方正仿宋简体" w:eastAsia="方正仿宋简体"/>
          <w:b w:val="0"/>
          <w:bCs/>
          <w:color w:val="000000"/>
          <w:sz w:val="32"/>
          <w:szCs w:val="32"/>
        </w:rPr>
        <w:t>。</w:t>
      </w:r>
    </w:p>
    <w:p>
      <w:pPr>
        <w:spacing w:line="600" w:lineRule="exact"/>
        <w:ind w:firstLine="640" w:firstLineChars="200"/>
        <w:rPr>
          <w:rStyle w:val="16"/>
          <w:rFonts w:eastAsia="方正仿宋简体"/>
          <w:b w:val="0"/>
          <w:bCs/>
          <w:color w:val="000000"/>
          <w:sz w:val="32"/>
          <w:szCs w:val="32"/>
        </w:rPr>
      </w:pPr>
      <w:r>
        <w:rPr>
          <w:rStyle w:val="16"/>
          <w:rFonts w:eastAsia="方正仿宋简体"/>
          <w:b w:val="0"/>
          <w:bCs/>
          <w:color w:val="000000"/>
          <w:sz w:val="32"/>
          <w:szCs w:val="32"/>
        </w:rPr>
        <w:t>2.</w:t>
      </w:r>
      <w:r>
        <w:rPr>
          <w:rStyle w:val="16"/>
          <w:rFonts w:hAnsi="方正仿宋简体" w:eastAsia="方正仿宋简体"/>
          <w:color w:val="000000"/>
          <w:sz w:val="32"/>
          <w:szCs w:val="32"/>
        </w:rPr>
        <w:t>社会保障和就业（类）行政事业单位养老支出（款）机关事业单位基本养老保险缴费支出（项）</w:t>
      </w:r>
      <w:r>
        <w:rPr>
          <w:rStyle w:val="16"/>
          <w:rFonts w:hint="eastAsia" w:eastAsia="方正仿宋简体"/>
          <w:b w:val="0"/>
          <w:bCs/>
          <w:color w:val="000000"/>
          <w:sz w:val="32"/>
          <w:szCs w:val="32"/>
          <w:lang w:eastAsia="zh-CN"/>
        </w:rPr>
        <w:t>：</w:t>
      </w:r>
      <w:r>
        <w:rPr>
          <w:rStyle w:val="16"/>
          <w:rFonts w:hAnsi="方正仿宋简体" w:eastAsia="方正仿宋简体"/>
          <w:b w:val="0"/>
          <w:bCs/>
          <w:color w:val="000000"/>
          <w:sz w:val="32"/>
          <w:szCs w:val="32"/>
        </w:rPr>
        <w:t>支出决算为</w:t>
      </w:r>
      <w:r>
        <w:rPr>
          <w:rStyle w:val="16"/>
          <w:rFonts w:eastAsia="方正仿宋简体"/>
          <w:b w:val="0"/>
          <w:bCs/>
          <w:color w:val="000000"/>
          <w:sz w:val="32"/>
          <w:szCs w:val="32"/>
        </w:rPr>
        <w:t>23.25</w:t>
      </w:r>
      <w:r>
        <w:rPr>
          <w:rStyle w:val="16"/>
          <w:rFonts w:hAnsi="方正仿宋简体" w:eastAsia="方正仿宋简体"/>
          <w:b w:val="0"/>
          <w:bCs/>
          <w:color w:val="000000"/>
          <w:sz w:val="32"/>
          <w:szCs w:val="32"/>
        </w:rPr>
        <w:t>万元，完成预算</w:t>
      </w:r>
      <w:r>
        <w:rPr>
          <w:rStyle w:val="16"/>
          <w:rFonts w:eastAsia="方正仿宋简体"/>
          <w:b w:val="0"/>
          <w:bCs/>
          <w:color w:val="000000"/>
          <w:sz w:val="32"/>
          <w:szCs w:val="32"/>
        </w:rPr>
        <w:t>100%</w:t>
      </w:r>
      <w:r>
        <w:rPr>
          <w:rStyle w:val="16"/>
          <w:rFonts w:hAnsi="方正仿宋简体" w:eastAsia="方正仿宋简体"/>
          <w:b w:val="0"/>
          <w:bCs/>
          <w:color w:val="000000"/>
          <w:sz w:val="32"/>
          <w:szCs w:val="32"/>
        </w:rPr>
        <w:t>。</w:t>
      </w:r>
    </w:p>
    <w:p>
      <w:pPr>
        <w:spacing w:line="600" w:lineRule="exact"/>
        <w:ind w:firstLine="640" w:firstLineChars="200"/>
        <w:rPr>
          <w:rFonts w:eastAsia="方正仿宋简体"/>
          <w:color w:val="000000"/>
          <w:sz w:val="32"/>
          <w:szCs w:val="32"/>
        </w:rPr>
      </w:pPr>
      <w:r>
        <w:rPr>
          <w:rFonts w:eastAsia="方正仿宋简体"/>
          <w:color w:val="000000"/>
          <w:sz w:val="32"/>
          <w:szCs w:val="32"/>
        </w:rPr>
        <w:t>3.</w:t>
      </w:r>
      <w:r>
        <w:rPr>
          <w:rFonts w:hAnsi="方正仿宋简体" w:eastAsia="方正仿宋简体"/>
          <w:b/>
          <w:bCs/>
          <w:color w:val="000000"/>
          <w:sz w:val="32"/>
          <w:szCs w:val="32"/>
        </w:rPr>
        <w:t>社会保障和就业（类）行政事业单位养老支出（款）机关事业单位职业年金缴费支出（项）</w:t>
      </w:r>
      <w:r>
        <w:rPr>
          <w:rFonts w:hint="eastAsia" w:eastAsia="方正仿宋简体"/>
          <w:color w:val="000000"/>
          <w:sz w:val="32"/>
          <w:szCs w:val="32"/>
          <w:lang w:eastAsia="zh-CN"/>
        </w:rPr>
        <w:t>：</w:t>
      </w:r>
      <w:r>
        <w:rPr>
          <w:rFonts w:hAnsi="方正仿宋简体" w:eastAsia="方正仿宋简体"/>
          <w:color w:val="000000"/>
          <w:sz w:val="32"/>
          <w:szCs w:val="32"/>
        </w:rPr>
        <w:t>支出决算为</w:t>
      </w:r>
      <w:r>
        <w:rPr>
          <w:rFonts w:eastAsia="方正仿宋简体"/>
          <w:color w:val="000000"/>
          <w:sz w:val="32"/>
          <w:szCs w:val="32"/>
        </w:rPr>
        <w:t>15.00</w:t>
      </w:r>
      <w:r>
        <w:rPr>
          <w:rFonts w:hAnsi="方正仿宋简体" w:eastAsia="方正仿宋简体"/>
          <w:color w:val="000000"/>
          <w:sz w:val="32"/>
          <w:szCs w:val="32"/>
        </w:rPr>
        <w:t>万元，完成预算</w:t>
      </w:r>
      <w:r>
        <w:rPr>
          <w:rFonts w:eastAsia="方正仿宋简体"/>
          <w:color w:val="000000"/>
          <w:sz w:val="32"/>
          <w:szCs w:val="32"/>
        </w:rPr>
        <w:t>100%</w:t>
      </w:r>
      <w:r>
        <w:rPr>
          <w:rFonts w:hAnsi="方正仿宋简体" w:eastAsia="方正仿宋简体"/>
          <w:color w:val="000000"/>
          <w:sz w:val="32"/>
          <w:szCs w:val="32"/>
        </w:rPr>
        <w:t>。</w:t>
      </w:r>
    </w:p>
    <w:p>
      <w:pPr>
        <w:spacing w:line="600" w:lineRule="exact"/>
        <w:ind w:firstLine="640" w:firstLineChars="200"/>
        <w:rPr>
          <w:rStyle w:val="16"/>
          <w:rFonts w:eastAsia="方正仿宋简体"/>
          <w:b w:val="0"/>
          <w:bCs/>
          <w:color w:val="000000"/>
          <w:sz w:val="32"/>
          <w:szCs w:val="32"/>
        </w:rPr>
      </w:pPr>
      <w:r>
        <w:rPr>
          <w:rStyle w:val="16"/>
          <w:rFonts w:eastAsia="方正仿宋简体"/>
          <w:b w:val="0"/>
          <w:bCs/>
          <w:color w:val="000000"/>
          <w:sz w:val="32"/>
          <w:szCs w:val="32"/>
        </w:rPr>
        <w:t>4.</w:t>
      </w:r>
      <w:r>
        <w:rPr>
          <w:rStyle w:val="16"/>
          <w:rFonts w:hAnsi="方正仿宋简体" w:eastAsia="方正仿宋简体"/>
          <w:color w:val="000000"/>
          <w:sz w:val="32"/>
          <w:szCs w:val="32"/>
        </w:rPr>
        <w:t>社会保障和就业（类）退役军人管理事务（款）事业运行（项）</w:t>
      </w:r>
      <w:r>
        <w:rPr>
          <w:rStyle w:val="16"/>
          <w:rFonts w:hint="eastAsia" w:eastAsia="方正仿宋简体"/>
          <w:b w:val="0"/>
          <w:bCs/>
          <w:color w:val="000000"/>
          <w:sz w:val="32"/>
          <w:szCs w:val="32"/>
          <w:lang w:eastAsia="zh-CN"/>
        </w:rPr>
        <w:t>：</w:t>
      </w:r>
      <w:r>
        <w:rPr>
          <w:rStyle w:val="16"/>
          <w:rFonts w:hAnsi="方正仿宋简体" w:eastAsia="方正仿宋简体"/>
          <w:b w:val="0"/>
          <w:bCs/>
          <w:color w:val="000000"/>
          <w:sz w:val="32"/>
          <w:szCs w:val="32"/>
        </w:rPr>
        <w:t>支出决算为</w:t>
      </w:r>
      <w:r>
        <w:rPr>
          <w:rStyle w:val="16"/>
          <w:rFonts w:eastAsia="方正仿宋简体"/>
          <w:b w:val="0"/>
          <w:bCs/>
          <w:color w:val="000000"/>
          <w:sz w:val="32"/>
          <w:szCs w:val="32"/>
        </w:rPr>
        <w:t>387.29</w:t>
      </w:r>
      <w:r>
        <w:rPr>
          <w:rStyle w:val="16"/>
          <w:rFonts w:hAnsi="方正仿宋简体" w:eastAsia="方正仿宋简体"/>
          <w:b w:val="0"/>
          <w:bCs/>
          <w:color w:val="000000"/>
          <w:sz w:val="32"/>
          <w:szCs w:val="32"/>
        </w:rPr>
        <w:t>万元，完成预算</w:t>
      </w:r>
      <w:r>
        <w:rPr>
          <w:rStyle w:val="16"/>
          <w:rFonts w:eastAsia="方正仿宋简体"/>
          <w:b w:val="0"/>
          <w:bCs/>
          <w:color w:val="000000"/>
          <w:sz w:val="32"/>
          <w:szCs w:val="32"/>
        </w:rPr>
        <w:t>100%</w:t>
      </w:r>
      <w:r>
        <w:rPr>
          <w:rStyle w:val="16"/>
          <w:rFonts w:hAnsi="方正仿宋简体" w:eastAsia="方正仿宋简体"/>
          <w:b w:val="0"/>
          <w:bCs/>
          <w:color w:val="000000"/>
          <w:sz w:val="32"/>
          <w:szCs w:val="32"/>
        </w:rPr>
        <w:t>。</w:t>
      </w:r>
    </w:p>
    <w:p>
      <w:pPr>
        <w:spacing w:line="600" w:lineRule="exact"/>
        <w:ind w:firstLine="643" w:firstLineChars="200"/>
        <w:rPr>
          <w:rFonts w:eastAsia="方正仿宋简体"/>
          <w:color w:val="000000"/>
          <w:sz w:val="32"/>
          <w:szCs w:val="32"/>
        </w:rPr>
      </w:pPr>
      <w:r>
        <w:rPr>
          <w:rStyle w:val="16"/>
          <w:rFonts w:eastAsia="方正仿宋简体"/>
          <w:color w:val="000000"/>
          <w:sz w:val="32"/>
          <w:szCs w:val="32"/>
        </w:rPr>
        <w:t>6.</w:t>
      </w:r>
      <w:r>
        <w:rPr>
          <w:rFonts w:hAnsi="方正仿宋简体" w:eastAsia="方正仿宋简体"/>
          <w:b/>
          <w:color w:val="000000" w:themeColor="text1"/>
          <w:sz w:val="32"/>
          <w:szCs w:val="32"/>
          <w14:textFill>
            <w14:solidFill>
              <w14:schemeClr w14:val="tx1"/>
            </w14:solidFill>
          </w14:textFill>
        </w:rPr>
        <w:t>卫生健康</w:t>
      </w:r>
      <w:r>
        <w:rPr>
          <w:rStyle w:val="16"/>
          <w:rFonts w:hAnsi="方正仿宋简体" w:eastAsia="方正仿宋简体"/>
          <w:color w:val="000000"/>
          <w:sz w:val="32"/>
          <w:szCs w:val="32"/>
        </w:rPr>
        <w:t>（类）行政事业单位医疗（款）事业单位医疗（项）</w:t>
      </w:r>
      <w:r>
        <w:rPr>
          <w:rStyle w:val="16"/>
          <w:rFonts w:hint="eastAsia" w:eastAsia="方正仿宋简体"/>
          <w:b w:val="0"/>
          <w:bCs/>
          <w:color w:val="000000"/>
          <w:sz w:val="32"/>
          <w:szCs w:val="32"/>
          <w:lang w:eastAsia="zh-CN"/>
        </w:rPr>
        <w:t>：</w:t>
      </w:r>
      <w:r>
        <w:rPr>
          <w:rStyle w:val="16"/>
          <w:rFonts w:hAnsi="方正仿宋简体" w:eastAsia="方正仿宋简体"/>
          <w:b w:val="0"/>
          <w:bCs/>
          <w:color w:val="000000"/>
          <w:sz w:val="32"/>
          <w:szCs w:val="32"/>
        </w:rPr>
        <w:t>支出决算为</w:t>
      </w:r>
      <w:r>
        <w:rPr>
          <w:rStyle w:val="16"/>
          <w:rFonts w:eastAsia="方正仿宋简体"/>
          <w:b w:val="0"/>
          <w:bCs/>
          <w:color w:val="000000"/>
          <w:sz w:val="32"/>
          <w:szCs w:val="32"/>
        </w:rPr>
        <w:t>20.00</w:t>
      </w:r>
      <w:r>
        <w:rPr>
          <w:rStyle w:val="16"/>
          <w:rFonts w:hAnsi="方正仿宋简体" w:eastAsia="方正仿宋简体"/>
          <w:b w:val="0"/>
          <w:bCs/>
          <w:color w:val="000000"/>
          <w:sz w:val="32"/>
          <w:szCs w:val="32"/>
        </w:rPr>
        <w:t>万元，完成预算</w:t>
      </w:r>
      <w:r>
        <w:rPr>
          <w:rStyle w:val="16"/>
          <w:rFonts w:eastAsia="方正仿宋简体"/>
          <w:b w:val="0"/>
          <w:bCs/>
          <w:color w:val="000000"/>
          <w:sz w:val="32"/>
          <w:szCs w:val="32"/>
        </w:rPr>
        <w:t>100%</w:t>
      </w:r>
      <w:r>
        <w:rPr>
          <w:rStyle w:val="16"/>
          <w:rFonts w:hAnsi="方正仿宋简体" w:eastAsia="方正仿宋简体"/>
          <w:b w:val="0"/>
          <w:bCs/>
          <w:color w:val="000000"/>
          <w:sz w:val="32"/>
          <w:szCs w:val="32"/>
        </w:rPr>
        <w:t>。</w:t>
      </w:r>
    </w:p>
    <w:p>
      <w:pPr>
        <w:spacing w:line="600" w:lineRule="exact"/>
        <w:ind w:firstLine="643" w:firstLineChars="200"/>
        <w:rPr>
          <w:rFonts w:eastAsia="方正仿宋简体"/>
          <w:color w:val="000000"/>
          <w:sz w:val="32"/>
          <w:szCs w:val="32"/>
        </w:rPr>
      </w:pPr>
      <w:r>
        <w:rPr>
          <w:rFonts w:eastAsia="方正仿宋简体"/>
          <w:b/>
          <w:bCs/>
          <w:color w:val="000000"/>
          <w:sz w:val="32"/>
          <w:szCs w:val="32"/>
        </w:rPr>
        <w:t>7.</w:t>
      </w:r>
      <w:r>
        <w:rPr>
          <w:rFonts w:hAnsi="方正仿宋简体" w:eastAsia="方正仿宋简体"/>
          <w:b/>
          <w:bCs/>
          <w:color w:val="000000"/>
          <w:sz w:val="32"/>
          <w:szCs w:val="32"/>
        </w:rPr>
        <w:t>住房保障支出（类）住房改革支出（款）住房公积金（项）</w:t>
      </w:r>
      <w:r>
        <w:rPr>
          <w:rFonts w:hint="eastAsia" w:eastAsia="方正仿宋简体"/>
          <w:color w:val="000000"/>
          <w:sz w:val="32"/>
          <w:szCs w:val="32"/>
          <w:lang w:eastAsia="zh-CN"/>
        </w:rPr>
        <w:t>：</w:t>
      </w:r>
      <w:r>
        <w:rPr>
          <w:rFonts w:hAnsi="方正仿宋简体" w:eastAsia="方正仿宋简体"/>
          <w:color w:val="000000"/>
          <w:sz w:val="32"/>
          <w:szCs w:val="32"/>
        </w:rPr>
        <w:t>支出决算为</w:t>
      </w:r>
      <w:r>
        <w:rPr>
          <w:rFonts w:eastAsia="方正仿宋简体"/>
          <w:color w:val="000000"/>
          <w:sz w:val="32"/>
          <w:szCs w:val="32"/>
        </w:rPr>
        <w:t>20.00</w:t>
      </w:r>
      <w:r>
        <w:rPr>
          <w:rFonts w:hAnsi="方正仿宋简体" w:eastAsia="方正仿宋简体"/>
          <w:color w:val="000000"/>
          <w:sz w:val="32"/>
          <w:szCs w:val="32"/>
        </w:rPr>
        <w:t>万元，完成预算</w:t>
      </w:r>
      <w:r>
        <w:rPr>
          <w:rFonts w:eastAsia="方正仿宋简体"/>
          <w:color w:val="000000"/>
          <w:sz w:val="32"/>
          <w:szCs w:val="32"/>
        </w:rPr>
        <w:t>100%</w:t>
      </w:r>
      <w:r>
        <w:rPr>
          <w:rFonts w:hAnsi="方正仿宋简体" w:eastAsia="方正仿宋简体"/>
          <w:color w:val="000000"/>
          <w:sz w:val="32"/>
          <w:szCs w:val="32"/>
        </w:rPr>
        <w:t>。</w:t>
      </w:r>
    </w:p>
    <w:p>
      <w:pPr>
        <w:spacing w:line="600" w:lineRule="exact"/>
        <w:ind w:firstLine="640" w:firstLineChars="200"/>
        <w:rPr>
          <w:rFonts w:eastAsia="方正仿宋简体"/>
          <w:color w:val="000000"/>
          <w:sz w:val="32"/>
          <w:szCs w:val="32"/>
        </w:rPr>
      </w:pPr>
      <w:r>
        <w:rPr>
          <w:rFonts w:eastAsia="方正仿宋简体"/>
          <w:color w:val="000000"/>
          <w:sz w:val="32"/>
          <w:szCs w:val="32"/>
        </w:rPr>
        <w:t>8.</w:t>
      </w:r>
      <w:r>
        <w:rPr>
          <w:rFonts w:hAnsi="方正仿宋简体" w:eastAsia="方正仿宋简体"/>
          <w:b/>
          <w:bCs/>
          <w:color w:val="000000"/>
          <w:sz w:val="32"/>
          <w:szCs w:val="32"/>
        </w:rPr>
        <w:t>住房保障支出（类）住房改革支出（款）购房补贴（项）</w:t>
      </w:r>
      <w:r>
        <w:rPr>
          <w:rFonts w:hint="eastAsia" w:eastAsia="方正仿宋简体"/>
          <w:color w:val="000000"/>
          <w:sz w:val="32"/>
          <w:szCs w:val="32"/>
          <w:lang w:eastAsia="zh-CN"/>
        </w:rPr>
        <w:t>：</w:t>
      </w:r>
      <w:r>
        <w:rPr>
          <w:rFonts w:hAnsi="方正仿宋简体" w:eastAsia="方正仿宋简体"/>
          <w:color w:val="000000"/>
          <w:sz w:val="32"/>
          <w:szCs w:val="32"/>
        </w:rPr>
        <w:t>支出决算为</w:t>
      </w:r>
      <w:r>
        <w:rPr>
          <w:rFonts w:eastAsia="方正仿宋简体"/>
          <w:color w:val="000000"/>
          <w:sz w:val="32"/>
          <w:szCs w:val="32"/>
        </w:rPr>
        <w:t>26.80</w:t>
      </w:r>
      <w:r>
        <w:rPr>
          <w:rFonts w:hAnsi="方正仿宋简体" w:eastAsia="方正仿宋简体"/>
          <w:color w:val="000000"/>
          <w:sz w:val="32"/>
          <w:szCs w:val="32"/>
        </w:rPr>
        <w:t>万元，完成预算</w:t>
      </w:r>
      <w:r>
        <w:rPr>
          <w:rFonts w:eastAsia="方正仿宋简体"/>
          <w:color w:val="000000"/>
          <w:sz w:val="32"/>
          <w:szCs w:val="32"/>
        </w:rPr>
        <w:t>100%</w:t>
      </w:r>
      <w:r>
        <w:rPr>
          <w:rFonts w:hAnsi="方正仿宋简体" w:eastAsia="方正仿宋简体"/>
          <w:color w:val="000000"/>
          <w:sz w:val="32"/>
          <w:szCs w:val="32"/>
        </w:rPr>
        <w:t>。</w:t>
      </w:r>
    </w:p>
    <w:p>
      <w:pPr>
        <w:tabs>
          <w:tab w:val="right" w:pos="8306"/>
        </w:tabs>
        <w:spacing w:line="600" w:lineRule="exact"/>
        <w:ind w:firstLine="640"/>
        <w:outlineLvl w:val="1"/>
        <w:rPr>
          <w:rStyle w:val="28"/>
          <w:rFonts w:ascii="Times New Roman" w:hAnsi="Times New Roman" w:eastAsia="方正黑体简体" w:cs="Times New Roman"/>
          <w:b w:val="0"/>
        </w:rPr>
      </w:pPr>
      <w:bookmarkStart w:id="61" w:name="_Toc15396608"/>
      <w:bookmarkStart w:id="62" w:name="_Toc80458059"/>
      <w:bookmarkStart w:id="63" w:name="_Toc15377214"/>
      <w:r>
        <w:rPr>
          <w:rFonts w:hAnsi="方正黑体简体" w:eastAsia="方正黑体简体"/>
          <w:bCs/>
          <w:color w:val="000000"/>
          <w:sz w:val="32"/>
          <w:szCs w:val="32"/>
        </w:rPr>
        <w:t>六、一</w:t>
      </w:r>
      <w:r>
        <w:rPr>
          <w:rStyle w:val="28"/>
          <w:rFonts w:ascii="Times New Roman" w:hAnsi="方正黑体简体" w:eastAsia="方正黑体简体" w:cs="Times New Roman"/>
          <w:b w:val="0"/>
        </w:rPr>
        <w:t>般公共预算财政拨款基本支出决算情况说明</w:t>
      </w:r>
      <w:bookmarkEnd w:id="61"/>
      <w:bookmarkEnd w:id="62"/>
      <w:bookmarkEnd w:id="63"/>
      <w:r>
        <w:rPr>
          <w:rStyle w:val="28"/>
          <w:rFonts w:ascii="Times New Roman" w:hAnsi="Times New Roman" w:eastAsia="方正黑体简体" w:cs="Times New Roman"/>
          <w:b w:val="0"/>
        </w:rPr>
        <w:tab/>
      </w:r>
    </w:p>
    <w:p>
      <w:pPr>
        <w:spacing w:line="600" w:lineRule="exact"/>
        <w:ind w:firstLine="645"/>
        <w:rPr>
          <w:rFonts w:eastAsia="方正仿宋简体"/>
          <w:color w:val="000000"/>
          <w:sz w:val="32"/>
          <w:szCs w:val="32"/>
        </w:rPr>
      </w:pPr>
      <w:r>
        <w:rPr>
          <w:rFonts w:eastAsia="方正仿宋简体"/>
          <w:color w:val="000000"/>
          <w:sz w:val="32"/>
          <w:szCs w:val="32"/>
        </w:rPr>
        <w:t>2022</w:t>
      </w:r>
      <w:r>
        <w:rPr>
          <w:rFonts w:hAnsi="方正仿宋简体" w:eastAsia="方正仿宋简体"/>
          <w:color w:val="000000"/>
          <w:sz w:val="32"/>
          <w:szCs w:val="32"/>
        </w:rPr>
        <w:t>年一般公共预算财政拨款基本支出</w:t>
      </w:r>
      <w:r>
        <w:rPr>
          <w:rFonts w:eastAsia="方正仿宋简体"/>
          <w:color w:val="000000"/>
          <w:sz w:val="32"/>
          <w:szCs w:val="32"/>
        </w:rPr>
        <w:t>501.76</w:t>
      </w:r>
      <w:r>
        <w:rPr>
          <w:rFonts w:hAnsi="方正仿宋简体" w:eastAsia="方正仿宋简体"/>
          <w:color w:val="000000"/>
          <w:sz w:val="32"/>
          <w:szCs w:val="32"/>
        </w:rPr>
        <w:t>万元，其中：</w:t>
      </w:r>
    </w:p>
    <w:p>
      <w:pPr>
        <w:spacing w:line="600" w:lineRule="exact"/>
        <w:ind w:firstLine="645"/>
        <w:rPr>
          <w:rFonts w:hAnsi="方正仿宋简体" w:eastAsia="方正仿宋简体"/>
          <w:color w:val="000000"/>
          <w:sz w:val="32"/>
          <w:szCs w:val="32"/>
        </w:rPr>
      </w:pPr>
      <w:r>
        <w:rPr>
          <w:rFonts w:hAnsi="方正仿宋简体" w:eastAsia="方正仿宋简体"/>
          <w:color w:val="000000"/>
          <w:sz w:val="32"/>
          <w:szCs w:val="32"/>
        </w:rPr>
        <w:t>人员经费</w:t>
      </w:r>
      <w:r>
        <w:rPr>
          <w:rFonts w:eastAsia="方正仿宋简体"/>
          <w:color w:val="000000"/>
          <w:sz w:val="32"/>
          <w:szCs w:val="32"/>
        </w:rPr>
        <w:t>439.16</w:t>
      </w:r>
      <w:r>
        <w:rPr>
          <w:rFonts w:hAnsi="方正仿宋简体" w:eastAsia="方正仿宋简体"/>
          <w:color w:val="000000"/>
          <w:sz w:val="32"/>
          <w:szCs w:val="32"/>
        </w:rPr>
        <w:t>万元，主要包括：基本工资、津贴补贴、绩效工资、机关事业单位基本养老保险缴费、职业年金缴费、职工基本医疗保险缴费、其他社会保障缴费、奖励金、住房公积金等、其他工资福利支出、其他对个人和家庭的补助。</w:t>
      </w:r>
    </w:p>
    <w:p>
      <w:pPr>
        <w:spacing w:line="600" w:lineRule="exact"/>
        <w:ind w:firstLine="645"/>
        <w:rPr>
          <w:rFonts w:eastAsia="方正仿宋简体"/>
          <w:color w:val="000000"/>
          <w:sz w:val="32"/>
          <w:szCs w:val="32"/>
        </w:rPr>
      </w:pPr>
      <w:r>
        <w:rPr>
          <w:rFonts w:hAnsi="方正仿宋简体" w:eastAsia="方正仿宋简体"/>
          <w:color w:val="000000"/>
          <w:sz w:val="32"/>
          <w:szCs w:val="32"/>
        </w:rPr>
        <w:t>公用经费</w:t>
      </w:r>
      <w:r>
        <w:rPr>
          <w:rFonts w:eastAsia="方正仿宋简体"/>
          <w:color w:val="000000"/>
          <w:sz w:val="32"/>
          <w:szCs w:val="32"/>
        </w:rPr>
        <w:t>62.60</w:t>
      </w:r>
      <w:r>
        <w:rPr>
          <w:rFonts w:hAnsi="方正仿宋简体" w:eastAsia="方正仿宋简体"/>
          <w:color w:val="000000"/>
          <w:sz w:val="32"/>
          <w:szCs w:val="32"/>
        </w:rPr>
        <w:t>万元，主要包括：办公费、水费、电费、物业管理费、差旅费、培训费等。</w:t>
      </w:r>
    </w:p>
    <w:p>
      <w:pPr>
        <w:spacing w:line="600" w:lineRule="exact"/>
        <w:ind w:firstLine="640"/>
        <w:outlineLvl w:val="1"/>
        <w:rPr>
          <w:rStyle w:val="28"/>
          <w:rFonts w:ascii="Times New Roman" w:hAnsi="Times New Roman" w:eastAsia="方正黑体简体" w:cs="Times New Roman"/>
          <w:b w:val="0"/>
        </w:rPr>
      </w:pPr>
      <w:bookmarkStart w:id="64" w:name="_Toc80458060"/>
      <w:bookmarkStart w:id="65" w:name="_Toc15396609"/>
      <w:bookmarkStart w:id="66" w:name="_Toc15377215"/>
      <w:r>
        <w:rPr>
          <w:rFonts w:hAnsi="方正黑体简体" w:eastAsia="方正黑体简体"/>
          <w:color w:val="000000"/>
          <w:sz w:val="32"/>
          <w:szCs w:val="32"/>
        </w:rPr>
        <w:t>七、</w:t>
      </w:r>
      <w:bookmarkEnd w:id="64"/>
      <w:bookmarkEnd w:id="65"/>
      <w:bookmarkEnd w:id="66"/>
      <w:r>
        <w:rPr>
          <w:rStyle w:val="28"/>
          <w:rFonts w:ascii="Times New Roman" w:hAnsi="方正黑体简体" w:eastAsia="方正黑体简体" w:cs="Times New Roman"/>
          <w:b w:val="0"/>
        </w:rPr>
        <w:t>财政拨款</w:t>
      </w:r>
      <w:r>
        <w:rPr>
          <w:rStyle w:val="28"/>
          <w:rFonts w:ascii="Times New Roman" w:hAnsi="Times New Roman" w:eastAsia="方正黑体简体" w:cs="Times New Roman"/>
        </w:rPr>
        <w:t>“</w:t>
      </w:r>
      <w:r>
        <w:rPr>
          <w:rStyle w:val="28"/>
          <w:rFonts w:ascii="Times New Roman" w:hAnsi="方正黑体简体" w:eastAsia="方正黑体简体" w:cs="Times New Roman"/>
          <w:b w:val="0"/>
        </w:rPr>
        <w:t>三公</w:t>
      </w:r>
      <w:r>
        <w:rPr>
          <w:rStyle w:val="28"/>
          <w:rFonts w:ascii="Times New Roman" w:hAnsi="Times New Roman" w:eastAsia="方正黑体简体" w:cs="Times New Roman"/>
          <w:b w:val="0"/>
        </w:rPr>
        <w:t>”</w:t>
      </w:r>
      <w:r>
        <w:rPr>
          <w:rStyle w:val="28"/>
          <w:rFonts w:ascii="Times New Roman" w:hAnsi="方正黑体简体" w:eastAsia="方正黑体简体" w:cs="Times New Roman"/>
          <w:b w:val="0"/>
        </w:rPr>
        <w:t>经费支出决算情况说明</w:t>
      </w:r>
    </w:p>
    <w:p>
      <w:pPr>
        <w:spacing w:line="600" w:lineRule="exact"/>
        <w:ind w:firstLine="640"/>
        <w:outlineLvl w:val="2"/>
        <w:rPr>
          <w:rFonts w:eastAsia="方正楷体简体"/>
          <w:color w:val="000000"/>
          <w:sz w:val="32"/>
          <w:szCs w:val="32"/>
        </w:rPr>
      </w:pPr>
      <w:bookmarkStart w:id="67" w:name="_Toc15377216"/>
      <w:bookmarkStart w:id="68" w:name="_Toc80456670"/>
      <w:bookmarkStart w:id="69" w:name="_Toc80458061"/>
      <w:r>
        <w:rPr>
          <w:rFonts w:hAnsi="方正楷体简体" w:eastAsia="方正楷体简体"/>
          <w:color w:val="000000"/>
          <w:sz w:val="32"/>
          <w:szCs w:val="32"/>
        </w:rPr>
        <w:t>（一）</w:t>
      </w:r>
      <w:r>
        <w:rPr>
          <w:rFonts w:eastAsia="方正楷体简体"/>
          <w:color w:val="000000"/>
          <w:sz w:val="32"/>
          <w:szCs w:val="32"/>
        </w:rPr>
        <w:t>“</w:t>
      </w:r>
      <w:r>
        <w:rPr>
          <w:rFonts w:hAnsi="方正楷体简体" w:eastAsia="方正楷体简体"/>
          <w:color w:val="000000"/>
          <w:sz w:val="32"/>
          <w:szCs w:val="32"/>
        </w:rPr>
        <w:t>三公</w:t>
      </w:r>
      <w:r>
        <w:rPr>
          <w:rFonts w:eastAsia="方正楷体简体"/>
          <w:color w:val="000000"/>
          <w:sz w:val="32"/>
          <w:szCs w:val="32"/>
        </w:rPr>
        <w:t>”</w:t>
      </w:r>
      <w:r>
        <w:rPr>
          <w:rFonts w:hAnsi="方正楷体简体" w:eastAsia="方正楷体简体"/>
          <w:color w:val="000000"/>
          <w:sz w:val="32"/>
          <w:szCs w:val="32"/>
        </w:rPr>
        <w:t>经费财政拨款支出决算总体情况说明</w:t>
      </w:r>
      <w:bookmarkEnd w:id="67"/>
      <w:bookmarkEnd w:id="68"/>
      <w:bookmarkEnd w:id="69"/>
    </w:p>
    <w:p>
      <w:pPr>
        <w:spacing w:line="600" w:lineRule="exact"/>
        <w:ind w:firstLine="640"/>
        <w:rPr>
          <w:rFonts w:hint="default" w:eastAsia="方正仿宋简体"/>
          <w:sz w:val="32"/>
          <w:szCs w:val="32"/>
          <w:lang w:val="en-US" w:eastAsia="zh-CN"/>
        </w:rPr>
      </w:pPr>
      <w:r>
        <w:rPr>
          <w:rFonts w:eastAsia="方正仿宋简体"/>
          <w:color w:val="000000"/>
          <w:sz w:val="32"/>
          <w:szCs w:val="32"/>
        </w:rPr>
        <w:t>2022</w:t>
      </w:r>
      <w:r>
        <w:rPr>
          <w:rFonts w:hAnsi="方正仿宋简体" w:eastAsia="方正仿宋简体"/>
          <w:color w:val="000000"/>
          <w:sz w:val="32"/>
          <w:szCs w:val="32"/>
        </w:rPr>
        <w:t>年</w:t>
      </w:r>
      <w:r>
        <w:rPr>
          <w:rFonts w:eastAsia="方正仿宋简体"/>
          <w:color w:val="000000"/>
          <w:sz w:val="32"/>
          <w:szCs w:val="32"/>
        </w:rPr>
        <w:t>“</w:t>
      </w:r>
      <w:r>
        <w:rPr>
          <w:rFonts w:hAnsi="方正仿宋简体" w:eastAsia="方正仿宋简体"/>
          <w:color w:val="000000"/>
          <w:sz w:val="32"/>
          <w:szCs w:val="32"/>
        </w:rPr>
        <w:t>三公</w:t>
      </w:r>
      <w:r>
        <w:rPr>
          <w:rFonts w:eastAsia="方正仿宋简体"/>
          <w:color w:val="000000"/>
          <w:sz w:val="32"/>
          <w:szCs w:val="32"/>
        </w:rPr>
        <w:t>”</w:t>
      </w:r>
      <w:r>
        <w:rPr>
          <w:rFonts w:hAnsi="方正仿宋简体" w:eastAsia="方正仿宋简体"/>
          <w:color w:val="000000"/>
          <w:sz w:val="32"/>
          <w:szCs w:val="32"/>
        </w:rPr>
        <w:t>经费财政拨款支出决算为</w:t>
      </w:r>
      <w:r>
        <w:rPr>
          <w:rFonts w:eastAsia="方正仿宋简体"/>
          <w:color w:val="000000"/>
          <w:sz w:val="32"/>
          <w:szCs w:val="32"/>
        </w:rPr>
        <w:t>0</w:t>
      </w:r>
      <w:r>
        <w:rPr>
          <w:rFonts w:hAnsi="方正仿宋简体" w:eastAsia="方正仿宋简体"/>
          <w:color w:val="000000"/>
          <w:sz w:val="32"/>
          <w:szCs w:val="32"/>
        </w:rPr>
        <w:t>万元，</w:t>
      </w:r>
      <w:r>
        <w:rPr>
          <w:rFonts w:hint="eastAsia" w:ascii="仿宋" w:hAnsi="仿宋" w:eastAsia="仿宋"/>
          <w:color w:val="auto"/>
          <w:sz w:val="32"/>
          <w:szCs w:val="32"/>
          <w:highlight w:val="none"/>
        </w:rPr>
        <w:t>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减少0.11万元,下降100%。</w:t>
      </w:r>
      <w:r>
        <w:rPr>
          <w:rFonts w:hint="eastAsia" w:ascii="仿宋" w:hAnsi="仿宋" w:eastAsia="仿宋"/>
          <w:color w:val="auto"/>
          <w:sz w:val="32"/>
          <w:szCs w:val="32"/>
          <w:highlight w:val="none"/>
        </w:rPr>
        <w:t>决算数与预算数持平</w:t>
      </w:r>
      <w:r>
        <w:rPr>
          <w:rFonts w:hint="eastAsia" w:hAnsi="方正仿宋简体" w:eastAsia="方正仿宋简体"/>
          <w:color w:val="000000"/>
          <w:sz w:val="32"/>
          <w:szCs w:val="32"/>
          <w:lang w:val="en-US" w:eastAsia="zh-CN"/>
        </w:rPr>
        <w:t>。</w:t>
      </w:r>
    </w:p>
    <w:p>
      <w:pPr>
        <w:spacing w:line="600" w:lineRule="exact"/>
        <w:ind w:firstLine="640"/>
        <w:outlineLvl w:val="2"/>
        <w:rPr>
          <w:rFonts w:eastAsia="方正楷体简体"/>
          <w:color w:val="000000"/>
          <w:sz w:val="32"/>
          <w:szCs w:val="32"/>
        </w:rPr>
      </w:pPr>
      <w:bookmarkStart w:id="70" w:name="_Toc80456671"/>
      <w:bookmarkStart w:id="71" w:name="_Toc80458062"/>
      <w:bookmarkStart w:id="72" w:name="_Toc15377217"/>
      <w:r>
        <w:rPr>
          <w:rFonts w:hAnsi="方正楷体简体" w:eastAsia="方正楷体简体"/>
          <w:color w:val="000000"/>
          <w:sz w:val="32"/>
          <w:szCs w:val="32"/>
        </w:rPr>
        <w:t>（二）</w:t>
      </w:r>
      <w:r>
        <w:rPr>
          <w:rFonts w:eastAsia="方正楷体简体"/>
          <w:color w:val="000000"/>
          <w:sz w:val="32"/>
          <w:szCs w:val="32"/>
        </w:rPr>
        <w:t>“</w:t>
      </w:r>
      <w:r>
        <w:rPr>
          <w:rFonts w:hAnsi="方正楷体简体" w:eastAsia="方正楷体简体"/>
          <w:color w:val="000000"/>
          <w:sz w:val="32"/>
          <w:szCs w:val="32"/>
        </w:rPr>
        <w:t>三公</w:t>
      </w:r>
      <w:r>
        <w:rPr>
          <w:rFonts w:eastAsia="方正楷体简体"/>
          <w:color w:val="000000"/>
          <w:sz w:val="32"/>
          <w:szCs w:val="32"/>
        </w:rPr>
        <w:t>”</w:t>
      </w:r>
      <w:r>
        <w:rPr>
          <w:rFonts w:hAnsi="方正楷体简体" w:eastAsia="方正楷体简体"/>
          <w:color w:val="000000"/>
          <w:sz w:val="32"/>
          <w:szCs w:val="32"/>
        </w:rPr>
        <w:t>经费财政拨款支出决算具体情况说明</w:t>
      </w:r>
      <w:bookmarkEnd w:id="70"/>
      <w:bookmarkEnd w:id="71"/>
      <w:bookmarkEnd w:id="72"/>
    </w:p>
    <w:p>
      <w:pPr>
        <w:spacing w:line="600" w:lineRule="exact"/>
        <w:ind w:firstLine="640"/>
        <w:rPr>
          <w:rFonts w:eastAsia="方正仿宋简体"/>
          <w:color w:val="000000"/>
          <w:sz w:val="32"/>
          <w:szCs w:val="32"/>
        </w:rPr>
      </w:pPr>
      <w:r>
        <w:rPr>
          <w:rFonts w:eastAsia="方正仿宋简体"/>
          <w:color w:val="000000"/>
          <w:sz w:val="32"/>
          <w:szCs w:val="32"/>
        </w:rPr>
        <w:t>2022</w:t>
      </w:r>
      <w:r>
        <w:rPr>
          <w:rFonts w:hAnsi="方正仿宋简体" w:eastAsia="方正仿宋简体"/>
          <w:color w:val="000000"/>
          <w:sz w:val="32"/>
          <w:szCs w:val="32"/>
        </w:rPr>
        <w:t>年</w:t>
      </w:r>
      <w:r>
        <w:rPr>
          <w:rFonts w:eastAsia="方正仿宋简体"/>
          <w:color w:val="000000"/>
          <w:sz w:val="32"/>
          <w:szCs w:val="32"/>
        </w:rPr>
        <w:t>“</w:t>
      </w:r>
      <w:r>
        <w:rPr>
          <w:rFonts w:hAnsi="方正仿宋简体" w:eastAsia="方正仿宋简体"/>
          <w:color w:val="000000"/>
          <w:sz w:val="32"/>
          <w:szCs w:val="32"/>
        </w:rPr>
        <w:t>三公</w:t>
      </w:r>
      <w:r>
        <w:rPr>
          <w:rFonts w:eastAsia="方正仿宋简体"/>
          <w:color w:val="000000"/>
          <w:sz w:val="32"/>
          <w:szCs w:val="32"/>
        </w:rPr>
        <w:t>”</w:t>
      </w:r>
      <w:r>
        <w:rPr>
          <w:rFonts w:hAnsi="方正仿宋简体" w:eastAsia="方正仿宋简体"/>
          <w:color w:val="000000"/>
          <w:sz w:val="32"/>
          <w:szCs w:val="32"/>
        </w:rPr>
        <w:t>经费财政拨款支出决算中，因公出国（境）费支出决算</w:t>
      </w:r>
      <w:r>
        <w:rPr>
          <w:rFonts w:eastAsia="方正仿宋简体"/>
          <w:color w:val="000000"/>
          <w:sz w:val="32"/>
          <w:szCs w:val="32"/>
        </w:rPr>
        <w:t>0</w:t>
      </w:r>
      <w:r>
        <w:rPr>
          <w:rFonts w:hAnsi="方正仿宋简体" w:eastAsia="方正仿宋简体"/>
          <w:color w:val="000000"/>
          <w:sz w:val="32"/>
          <w:szCs w:val="32"/>
        </w:rPr>
        <w:t>万元；公务用车购置及运行维护费支出决算</w:t>
      </w:r>
      <w:r>
        <w:rPr>
          <w:rFonts w:eastAsia="方正仿宋简体"/>
          <w:color w:val="000000"/>
          <w:sz w:val="32"/>
          <w:szCs w:val="32"/>
        </w:rPr>
        <w:t>0</w:t>
      </w:r>
      <w:r>
        <w:rPr>
          <w:rFonts w:hAnsi="方正仿宋简体" w:eastAsia="方正仿宋简体"/>
          <w:color w:val="000000"/>
          <w:sz w:val="32"/>
          <w:szCs w:val="32"/>
        </w:rPr>
        <w:t>万元；公务接待费支出决算</w:t>
      </w:r>
      <w:r>
        <w:rPr>
          <w:rFonts w:eastAsia="方正仿宋简体"/>
          <w:color w:val="000000"/>
          <w:sz w:val="32"/>
          <w:szCs w:val="32"/>
        </w:rPr>
        <w:t>0</w:t>
      </w:r>
      <w:r>
        <w:rPr>
          <w:rFonts w:hAnsi="方正仿宋简体" w:eastAsia="方正仿宋简体"/>
          <w:color w:val="000000"/>
          <w:sz w:val="32"/>
          <w:szCs w:val="32"/>
        </w:rPr>
        <w:t>万元。具体情况如下：</w:t>
      </w:r>
    </w:p>
    <w:p>
      <w:pPr>
        <w:spacing w:line="600" w:lineRule="exact"/>
        <w:ind w:firstLine="640"/>
        <w:rPr>
          <w:rFonts w:eastAsia="方正仿宋简体"/>
          <w:color w:val="000000"/>
          <w:sz w:val="32"/>
          <w:szCs w:val="32"/>
        </w:rPr>
      </w:pPr>
      <w:r>
        <w:rPr>
          <w:rFonts w:eastAsia="方正仿宋简体"/>
          <w:color w:val="000000"/>
          <w:sz w:val="32"/>
          <w:szCs w:val="32"/>
        </w:rPr>
        <w:t>1</w:t>
      </w:r>
      <w:r>
        <w:rPr>
          <w:rFonts w:eastAsia="方正仿宋简体"/>
          <w:b/>
          <w:bCs/>
          <w:color w:val="000000"/>
          <w:sz w:val="32"/>
          <w:szCs w:val="32"/>
        </w:rPr>
        <w:t>.</w:t>
      </w:r>
      <w:r>
        <w:rPr>
          <w:rFonts w:hAnsi="方正仿宋简体" w:eastAsia="方正仿宋简体"/>
          <w:b/>
          <w:bCs/>
          <w:color w:val="000000"/>
          <w:sz w:val="32"/>
          <w:szCs w:val="32"/>
        </w:rPr>
        <w:t>因公出国（境）经费支出</w:t>
      </w:r>
      <w:r>
        <w:rPr>
          <w:rFonts w:eastAsia="方正仿宋简体"/>
          <w:color w:val="000000"/>
          <w:sz w:val="32"/>
          <w:szCs w:val="32"/>
        </w:rPr>
        <w:t>0</w:t>
      </w:r>
      <w:r>
        <w:rPr>
          <w:rFonts w:hAnsi="方正仿宋简体" w:eastAsia="方正仿宋简体"/>
          <w:color w:val="000000"/>
          <w:sz w:val="32"/>
          <w:szCs w:val="32"/>
        </w:rPr>
        <w:t>万元</w:t>
      </w:r>
      <w:r>
        <w:rPr>
          <w:rFonts w:hint="eastAsia" w:hAnsi="方正仿宋简体" w:eastAsia="方正仿宋简体"/>
          <w:color w:val="000000"/>
          <w:sz w:val="32"/>
          <w:szCs w:val="32"/>
          <w:lang w:eastAsia="zh-CN"/>
        </w:rPr>
        <w:t>，</w:t>
      </w:r>
      <w:r>
        <w:rPr>
          <w:rFonts w:hint="eastAsia" w:hAnsi="方正仿宋简体" w:eastAsia="方正仿宋简体"/>
          <w:color w:val="000000"/>
          <w:sz w:val="32"/>
          <w:szCs w:val="32"/>
        </w:rPr>
        <w:t>完成预算</w:t>
      </w:r>
      <w:r>
        <w:rPr>
          <w:rFonts w:hint="eastAsia" w:hAnsi="方正仿宋简体" w:eastAsia="方正仿宋简体"/>
          <w:color w:val="000000"/>
          <w:sz w:val="32"/>
          <w:szCs w:val="32"/>
          <w:lang w:val="en-US" w:eastAsia="zh-CN"/>
        </w:rPr>
        <w:t>0</w:t>
      </w:r>
      <w:r>
        <w:rPr>
          <w:rFonts w:hAnsi="方正仿宋简体" w:eastAsia="方正仿宋简体"/>
          <w:color w:val="000000"/>
          <w:sz w:val="32"/>
          <w:szCs w:val="32"/>
        </w:rPr>
        <w:t>%</w:t>
      </w:r>
      <w:r>
        <w:rPr>
          <w:rFonts w:hint="eastAsia" w:hAnsi="方正仿宋简体" w:eastAsia="方正仿宋简体"/>
          <w:color w:val="000000"/>
          <w:sz w:val="32"/>
          <w:szCs w:val="32"/>
        </w:rPr>
        <w:t>。全年安排因公出国（境）团组</w:t>
      </w:r>
      <w:r>
        <w:rPr>
          <w:rFonts w:hint="eastAsia" w:hAnsi="方正仿宋简体" w:eastAsia="方正仿宋简体"/>
          <w:color w:val="000000"/>
          <w:sz w:val="32"/>
          <w:szCs w:val="32"/>
          <w:lang w:val="en-US" w:eastAsia="zh-CN"/>
        </w:rPr>
        <w:t>0</w:t>
      </w:r>
      <w:r>
        <w:rPr>
          <w:rFonts w:hint="eastAsia" w:hAnsi="方正仿宋简体" w:eastAsia="方正仿宋简体"/>
          <w:color w:val="000000"/>
          <w:sz w:val="32"/>
          <w:szCs w:val="32"/>
        </w:rPr>
        <w:t>次，出国（境）</w:t>
      </w:r>
      <w:r>
        <w:rPr>
          <w:rFonts w:hint="eastAsia" w:hAnsi="方正仿宋简体" w:eastAsia="方正仿宋简体"/>
          <w:color w:val="000000"/>
          <w:sz w:val="32"/>
          <w:szCs w:val="32"/>
          <w:lang w:val="en-US" w:eastAsia="zh-CN"/>
        </w:rPr>
        <w:t>0</w:t>
      </w:r>
      <w:r>
        <w:rPr>
          <w:rFonts w:hint="eastAsia" w:hAnsi="方正仿宋简体" w:eastAsia="方正仿宋简体"/>
          <w:color w:val="000000"/>
          <w:sz w:val="32"/>
          <w:szCs w:val="32"/>
        </w:rPr>
        <w:t>人</w:t>
      </w:r>
      <w:r>
        <w:rPr>
          <w:rFonts w:hint="eastAsia" w:ascii="仿宋_GB2312" w:eastAsia="仿宋_GB2312"/>
          <w:sz w:val="32"/>
          <w:szCs w:val="32"/>
        </w:rPr>
        <w:t>。</w:t>
      </w:r>
      <w:r>
        <w:rPr>
          <w:rFonts w:hAnsi="方正仿宋简体" w:eastAsia="方正仿宋简体"/>
          <w:color w:val="000000"/>
          <w:sz w:val="32"/>
          <w:szCs w:val="32"/>
        </w:rPr>
        <w:t>因公出国（境）支出决算与</w:t>
      </w:r>
      <w:r>
        <w:rPr>
          <w:rFonts w:eastAsia="方正仿宋简体"/>
          <w:color w:val="000000"/>
          <w:sz w:val="32"/>
          <w:szCs w:val="32"/>
        </w:rPr>
        <w:t>2021</w:t>
      </w:r>
      <w:r>
        <w:rPr>
          <w:rFonts w:hAnsi="方正仿宋简体" w:eastAsia="方正仿宋简体"/>
          <w:color w:val="000000"/>
          <w:sz w:val="32"/>
          <w:szCs w:val="32"/>
        </w:rPr>
        <w:t>年持平。</w:t>
      </w:r>
    </w:p>
    <w:p>
      <w:pPr>
        <w:spacing w:line="600" w:lineRule="exact"/>
        <w:ind w:firstLine="640"/>
        <w:rPr>
          <w:rFonts w:eastAsia="方正仿宋简体"/>
          <w:color w:val="000000"/>
          <w:sz w:val="32"/>
          <w:szCs w:val="32"/>
        </w:rPr>
      </w:pPr>
      <w:r>
        <w:rPr>
          <w:rFonts w:eastAsia="方正仿宋简体"/>
          <w:color w:val="000000"/>
          <w:sz w:val="32"/>
          <w:szCs w:val="32"/>
        </w:rPr>
        <w:t>2.</w:t>
      </w:r>
      <w:r>
        <w:rPr>
          <w:rFonts w:hAnsi="方正仿宋简体" w:eastAsia="方正仿宋简体"/>
          <w:b/>
          <w:bCs/>
          <w:color w:val="000000"/>
          <w:sz w:val="32"/>
          <w:szCs w:val="32"/>
        </w:rPr>
        <w:t>公务用车购置及运行维护费支出</w:t>
      </w:r>
      <w:r>
        <w:rPr>
          <w:rFonts w:eastAsia="方正仿宋简体"/>
          <w:color w:val="000000"/>
          <w:sz w:val="32"/>
          <w:szCs w:val="32"/>
        </w:rPr>
        <w:t>0</w:t>
      </w:r>
      <w:r>
        <w:rPr>
          <w:rFonts w:hAnsi="方正仿宋简体" w:eastAsia="方正仿宋简体"/>
          <w:color w:val="000000"/>
          <w:sz w:val="32"/>
          <w:szCs w:val="32"/>
        </w:rPr>
        <w:t>万元</w:t>
      </w:r>
      <w:r>
        <w:rPr>
          <w:rFonts w:hint="eastAsia" w:hAnsi="方正仿宋简体" w:eastAsia="方正仿宋简体"/>
          <w:color w:val="000000"/>
          <w:sz w:val="32"/>
          <w:szCs w:val="32"/>
          <w:lang w:eastAsia="zh-CN"/>
        </w:rPr>
        <w:t>，</w:t>
      </w:r>
      <w:r>
        <w:rPr>
          <w:rFonts w:hint="eastAsia" w:hAnsi="方正仿宋简体" w:eastAsia="方正仿宋简体"/>
          <w:color w:val="000000"/>
          <w:sz w:val="32"/>
          <w:szCs w:val="32"/>
        </w:rPr>
        <w:t>完成预算</w:t>
      </w:r>
      <w:r>
        <w:rPr>
          <w:rFonts w:hint="eastAsia" w:hAnsi="方正仿宋简体" w:eastAsia="方正仿宋简体"/>
          <w:color w:val="000000"/>
          <w:sz w:val="32"/>
          <w:szCs w:val="32"/>
          <w:lang w:val="en-US" w:eastAsia="zh-CN"/>
        </w:rPr>
        <w:t>0</w:t>
      </w:r>
      <w:r>
        <w:rPr>
          <w:rFonts w:hAnsi="方正仿宋简体" w:eastAsia="方正仿宋简体"/>
          <w:color w:val="000000"/>
          <w:sz w:val="32"/>
          <w:szCs w:val="32"/>
        </w:rPr>
        <w:t>%</w:t>
      </w:r>
      <w:r>
        <w:rPr>
          <w:rFonts w:hint="eastAsia" w:hAnsi="方正仿宋简体" w:eastAsia="方正仿宋简体"/>
          <w:color w:val="000000"/>
          <w:sz w:val="32"/>
          <w:szCs w:val="32"/>
        </w:rPr>
        <w:t>。</w:t>
      </w:r>
      <w:r>
        <w:rPr>
          <w:rFonts w:hAnsi="方正仿宋简体" w:eastAsia="方正仿宋简体"/>
          <w:color w:val="000000"/>
          <w:sz w:val="32"/>
          <w:szCs w:val="32"/>
        </w:rPr>
        <w:t>公务用车购置及运行维护费支出决算与</w:t>
      </w:r>
      <w:r>
        <w:rPr>
          <w:rFonts w:eastAsia="方正仿宋简体"/>
          <w:color w:val="000000"/>
          <w:sz w:val="32"/>
          <w:szCs w:val="32"/>
        </w:rPr>
        <w:t>2021</w:t>
      </w:r>
      <w:r>
        <w:rPr>
          <w:rFonts w:hAnsi="方正仿宋简体" w:eastAsia="方正仿宋简体"/>
          <w:color w:val="000000"/>
          <w:sz w:val="32"/>
          <w:szCs w:val="32"/>
        </w:rPr>
        <w:t>年持平。</w:t>
      </w:r>
    </w:p>
    <w:p>
      <w:pPr>
        <w:spacing w:line="600" w:lineRule="exact"/>
        <w:ind w:firstLine="640" w:firstLineChars="200"/>
        <w:rPr>
          <w:rFonts w:eastAsia="方正仿宋简体"/>
          <w:color w:val="000000"/>
          <w:sz w:val="32"/>
          <w:szCs w:val="32"/>
        </w:rPr>
      </w:pPr>
      <w:r>
        <w:rPr>
          <w:rFonts w:hAnsi="方正仿宋简体" w:eastAsia="方正仿宋简体"/>
          <w:color w:val="000000"/>
          <w:sz w:val="32"/>
          <w:szCs w:val="32"/>
        </w:rPr>
        <w:t>其中：</w:t>
      </w:r>
      <w:r>
        <w:rPr>
          <w:rFonts w:hAnsi="方正仿宋简体" w:eastAsia="方正仿宋简体"/>
          <w:b/>
          <w:bCs/>
          <w:color w:val="000000"/>
          <w:sz w:val="32"/>
          <w:szCs w:val="32"/>
        </w:rPr>
        <w:t>公务用车购置支出</w:t>
      </w:r>
      <w:r>
        <w:rPr>
          <w:rFonts w:eastAsia="方正仿宋简体"/>
          <w:color w:val="000000"/>
          <w:sz w:val="32"/>
          <w:szCs w:val="32"/>
        </w:rPr>
        <w:t>0</w:t>
      </w:r>
      <w:r>
        <w:rPr>
          <w:rFonts w:hAnsi="方正仿宋简体" w:eastAsia="方正仿宋简体"/>
          <w:color w:val="000000"/>
          <w:sz w:val="32"/>
          <w:szCs w:val="32"/>
        </w:rPr>
        <w:t>万元。</w:t>
      </w:r>
      <w:r>
        <w:rPr>
          <w:rFonts w:hint="eastAsia" w:hAnsi="方正仿宋简体" w:eastAsia="方正仿宋简体"/>
          <w:sz w:val="32"/>
          <w:szCs w:val="32"/>
        </w:rPr>
        <w:t>全年按规定更新购置公务用车</w:t>
      </w:r>
      <w:r>
        <w:rPr>
          <w:rFonts w:hint="eastAsia" w:hAnsi="方正仿宋简体" w:eastAsia="方正仿宋简体"/>
          <w:sz w:val="32"/>
          <w:szCs w:val="32"/>
          <w:lang w:val="en-US" w:eastAsia="zh-CN"/>
        </w:rPr>
        <w:t>0</w:t>
      </w:r>
      <w:r>
        <w:rPr>
          <w:rFonts w:hint="eastAsia" w:hAnsi="方正仿宋简体" w:eastAsia="方正仿宋简体"/>
          <w:sz w:val="32"/>
          <w:szCs w:val="32"/>
        </w:rPr>
        <w:t>辆</w:t>
      </w:r>
      <w:r>
        <w:rPr>
          <w:rFonts w:hAnsi="方正仿宋简体" w:eastAsia="方正仿宋简体"/>
          <w:color w:val="000000"/>
          <w:sz w:val="32"/>
          <w:szCs w:val="32"/>
        </w:rPr>
        <w:t>。</w:t>
      </w:r>
      <w:r>
        <w:rPr>
          <w:rFonts w:hint="eastAsia" w:hAnsi="方正仿宋简体" w:eastAsia="方正仿宋简体"/>
          <w:sz w:val="32"/>
          <w:szCs w:val="32"/>
        </w:rPr>
        <w:t>其中：轿车</w:t>
      </w:r>
      <w:r>
        <w:rPr>
          <w:rFonts w:hint="eastAsia" w:hAnsi="方正仿宋简体" w:eastAsia="方正仿宋简体"/>
          <w:sz w:val="32"/>
          <w:szCs w:val="32"/>
          <w:lang w:val="en-US" w:eastAsia="zh-CN"/>
        </w:rPr>
        <w:t>0</w:t>
      </w:r>
      <w:r>
        <w:rPr>
          <w:rFonts w:hint="eastAsia" w:hAnsi="方正仿宋简体" w:eastAsia="方正仿宋简体"/>
          <w:sz w:val="32"/>
          <w:szCs w:val="32"/>
        </w:rPr>
        <w:t>辆、金额</w:t>
      </w:r>
      <w:r>
        <w:rPr>
          <w:rFonts w:hint="eastAsia" w:hAnsi="方正仿宋简体" w:eastAsia="方正仿宋简体"/>
          <w:sz w:val="32"/>
          <w:szCs w:val="32"/>
          <w:lang w:val="en-US" w:eastAsia="zh-CN"/>
        </w:rPr>
        <w:t>0</w:t>
      </w:r>
      <w:r>
        <w:rPr>
          <w:rFonts w:hint="eastAsia" w:hAnsi="方正仿宋简体" w:eastAsia="方正仿宋简体"/>
          <w:sz w:val="32"/>
          <w:szCs w:val="32"/>
        </w:rPr>
        <w:t>万元，越野车</w:t>
      </w:r>
      <w:r>
        <w:rPr>
          <w:rFonts w:hint="eastAsia" w:hAnsi="方正仿宋简体" w:eastAsia="方正仿宋简体"/>
          <w:sz w:val="32"/>
          <w:szCs w:val="32"/>
          <w:lang w:val="en-US" w:eastAsia="zh-CN"/>
        </w:rPr>
        <w:t>0</w:t>
      </w:r>
      <w:r>
        <w:rPr>
          <w:rFonts w:hint="eastAsia" w:hAnsi="方正仿宋简体" w:eastAsia="方正仿宋简体"/>
          <w:sz w:val="32"/>
          <w:szCs w:val="32"/>
        </w:rPr>
        <w:t>辆、金额</w:t>
      </w:r>
      <w:r>
        <w:rPr>
          <w:rFonts w:hint="eastAsia" w:hAnsi="方正仿宋简体" w:eastAsia="方正仿宋简体"/>
          <w:sz w:val="32"/>
          <w:szCs w:val="32"/>
          <w:lang w:val="en-US" w:eastAsia="zh-CN"/>
        </w:rPr>
        <w:t>0</w:t>
      </w:r>
      <w:r>
        <w:rPr>
          <w:rFonts w:hint="eastAsia" w:hAnsi="方正仿宋简体" w:eastAsia="方正仿宋简体"/>
          <w:sz w:val="32"/>
          <w:szCs w:val="32"/>
        </w:rPr>
        <w:t>万元，载客汽车</w:t>
      </w:r>
      <w:r>
        <w:rPr>
          <w:rFonts w:hint="eastAsia" w:hAnsi="方正仿宋简体" w:eastAsia="方正仿宋简体"/>
          <w:sz w:val="32"/>
          <w:szCs w:val="32"/>
          <w:lang w:val="en-US" w:eastAsia="zh-CN"/>
        </w:rPr>
        <w:t>0</w:t>
      </w:r>
      <w:r>
        <w:rPr>
          <w:rFonts w:hint="eastAsia" w:hAnsi="方正仿宋简体" w:eastAsia="方正仿宋简体"/>
          <w:sz w:val="32"/>
          <w:szCs w:val="32"/>
        </w:rPr>
        <w:t>辆、金额</w:t>
      </w:r>
      <w:r>
        <w:rPr>
          <w:rFonts w:hint="eastAsia" w:hAnsi="方正仿宋简体" w:eastAsia="方正仿宋简体"/>
          <w:sz w:val="32"/>
          <w:szCs w:val="32"/>
          <w:lang w:val="en-US" w:eastAsia="zh-CN"/>
        </w:rPr>
        <w:t>0</w:t>
      </w:r>
      <w:r>
        <w:rPr>
          <w:rFonts w:hint="eastAsia" w:hAnsi="方正仿宋简体" w:eastAsia="方正仿宋简体"/>
          <w:sz w:val="32"/>
          <w:szCs w:val="32"/>
        </w:rPr>
        <w:t>万元，</w:t>
      </w:r>
      <w:r>
        <w:rPr>
          <w:rFonts w:hAnsi="方正仿宋简体" w:eastAsia="方正仿宋简体"/>
          <w:sz w:val="32"/>
          <w:szCs w:val="32"/>
        </w:rPr>
        <w:t>截至</w:t>
      </w:r>
      <w:r>
        <w:rPr>
          <w:rFonts w:eastAsia="方正仿宋简体"/>
          <w:sz w:val="32"/>
          <w:szCs w:val="32"/>
        </w:rPr>
        <w:t>2022</w:t>
      </w:r>
      <w:r>
        <w:rPr>
          <w:rFonts w:hAnsi="方正仿宋简体" w:eastAsia="方正仿宋简体"/>
          <w:sz w:val="32"/>
          <w:szCs w:val="32"/>
        </w:rPr>
        <w:t>年</w:t>
      </w:r>
      <w:r>
        <w:rPr>
          <w:rFonts w:eastAsia="方正仿宋简体"/>
          <w:sz w:val="32"/>
          <w:szCs w:val="32"/>
        </w:rPr>
        <w:t>12</w:t>
      </w:r>
      <w:r>
        <w:rPr>
          <w:rFonts w:hAnsi="方正仿宋简体" w:eastAsia="方正仿宋简体"/>
          <w:sz w:val="32"/>
          <w:szCs w:val="32"/>
        </w:rPr>
        <w:t>月底，单位共有公务用车</w:t>
      </w:r>
      <w:r>
        <w:rPr>
          <w:rFonts w:hint="eastAsia" w:hAnsi="方正仿宋简体" w:eastAsia="方正仿宋简体"/>
          <w:sz w:val="32"/>
          <w:szCs w:val="32"/>
          <w:lang w:val="en-US" w:eastAsia="zh-CN"/>
        </w:rPr>
        <w:t>0</w:t>
      </w:r>
      <w:r>
        <w:rPr>
          <w:rFonts w:hAnsi="方正仿宋简体" w:eastAsia="方正仿宋简体"/>
          <w:sz w:val="32"/>
          <w:szCs w:val="32"/>
        </w:rPr>
        <w:t>辆</w:t>
      </w:r>
      <w:r>
        <w:rPr>
          <w:rFonts w:hint="eastAsia" w:hAnsi="方正仿宋简体" w:eastAsia="方正仿宋简体"/>
          <w:sz w:val="32"/>
          <w:szCs w:val="32"/>
          <w:lang w:eastAsia="zh-CN"/>
        </w:rPr>
        <w:t>，</w:t>
      </w:r>
      <w:r>
        <w:rPr>
          <w:rFonts w:hint="eastAsia" w:hAnsi="方正仿宋简体" w:eastAsia="方正仿宋简体"/>
          <w:sz w:val="32"/>
          <w:szCs w:val="32"/>
        </w:rPr>
        <w:t>其中：轿车</w:t>
      </w:r>
      <w:r>
        <w:rPr>
          <w:rFonts w:hint="eastAsia" w:hAnsi="方正仿宋简体" w:eastAsia="方正仿宋简体"/>
          <w:sz w:val="32"/>
          <w:szCs w:val="32"/>
          <w:lang w:val="en-US" w:eastAsia="zh-CN"/>
        </w:rPr>
        <w:t>0</w:t>
      </w:r>
      <w:r>
        <w:rPr>
          <w:rFonts w:hint="eastAsia" w:hAnsi="方正仿宋简体" w:eastAsia="方正仿宋简体"/>
          <w:sz w:val="32"/>
          <w:szCs w:val="32"/>
        </w:rPr>
        <w:t>辆、越野车</w:t>
      </w:r>
      <w:r>
        <w:rPr>
          <w:rFonts w:hint="eastAsia" w:hAnsi="方正仿宋简体" w:eastAsia="方正仿宋简体"/>
          <w:sz w:val="32"/>
          <w:szCs w:val="32"/>
          <w:lang w:val="en-US" w:eastAsia="zh-CN"/>
        </w:rPr>
        <w:t>0</w:t>
      </w:r>
      <w:r>
        <w:rPr>
          <w:rFonts w:hint="eastAsia" w:hAnsi="方正仿宋简体" w:eastAsia="方正仿宋简体"/>
          <w:sz w:val="32"/>
          <w:szCs w:val="32"/>
        </w:rPr>
        <w:t>辆、载客汽车</w:t>
      </w:r>
      <w:r>
        <w:rPr>
          <w:rFonts w:hint="eastAsia" w:hAnsi="方正仿宋简体" w:eastAsia="方正仿宋简体"/>
          <w:sz w:val="32"/>
          <w:szCs w:val="32"/>
          <w:lang w:val="en-US" w:eastAsia="zh-CN"/>
        </w:rPr>
        <w:t>0</w:t>
      </w:r>
      <w:r>
        <w:rPr>
          <w:rFonts w:hint="eastAsia" w:hAnsi="方正仿宋简体" w:eastAsia="方正仿宋简体"/>
          <w:sz w:val="32"/>
          <w:szCs w:val="32"/>
        </w:rPr>
        <w:t>辆</w:t>
      </w:r>
      <w:r>
        <w:rPr>
          <w:rFonts w:hAnsi="方正仿宋简体" w:eastAsia="方正仿宋简体"/>
          <w:color w:val="000000"/>
          <w:sz w:val="32"/>
          <w:szCs w:val="32"/>
        </w:rPr>
        <w:t>。</w:t>
      </w:r>
      <w:r>
        <w:rPr>
          <w:rFonts w:hAnsi="方正仿宋简体" w:eastAsia="方正仿宋简体"/>
          <w:sz w:val="32"/>
          <w:szCs w:val="32"/>
        </w:rPr>
        <w:t>公务用车费用为</w:t>
      </w:r>
      <w:r>
        <w:rPr>
          <w:rFonts w:hAnsi="方正仿宋简体" w:eastAsia="方正仿宋简体"/>
          <w:color w:val="000000"/>
          <w:sz w:val="32"/>
          <w:szCs w:val="32"/>
        </w:rPr>
        <w:t>非财政拨款经费开支。</w:t>
      </w:r>
    </w:p>
    <w:p>
      <w:pPr>
        <w:spacing w:line="600" w:lineRule="exact"/>
        <w:ind w:firstLine="640"/>
        <w:rPr>
          <w:rFonts w:eastAsia="方正仿宋简体"/>
          <w:color w:val="000000"/>
          <w:sz w:val="32"/>
          <w:szCs w:val="32"/>
        </w:rPr>
      </w:pPr>
      <w:r>
        <w:rPr>
          <w:rFonts w:hAnsi="方正仿宋简体" w:eastAsia="方正仿宋简体"/>
          <w:b/>
          <w:bCs/>
          <w:color w:val="000000"/>
          <w:sz w:val="32"/>
          <w:szCs w:val="32"/>
        </w:rPr>
        <w:t>公务用车运行维护费支出</w:t>
      </w:r>
      <w:r>
        <w:rPr>
          <w:rFonts w:eastAsia="方正仿宋简体"/>
          <w:color w:val="000000"/>
          <w:sz w:val="32"/>
          <w:szCs w:val="32"/>
        </w:rPr>
        <w:t>0</w:t>
      </w:r>
      <w:r>
        <w:rPr>
          <w:rFonts w:hAnsi="方正仿宋简体" w:eastAsia="方正仿宋简体"/>
          <w:color w:val="000000"/>
          <w:sz w:val="32"/>
          <w:szCs w:val="32"/>
        </w:rPr>
        <w:t>万元</w:t>
      </w:r>
      <w:r>
        <w:rPr>
          <w:rFonts w:hint="eastAsia" w:hAnsi="方正仿宋简体" w:eastAsia="方正仿宋简体"/>
          <w:color w:val="000000"/>
          <w:sz w:val="32"/>
          <w:szCs w:val="32"/>
          <w:lang w:eastAsia="zh-CN"/>
        </w:rPr>
        <w:t>。</w:t>
      </w:r>
      <w:r>
        <w:rPr>
          <w:rFonts w:eastAsia="方正仿宋简体"/>
          <w:color w:val="000000"/>
          <w:sz w:val="32"/>
          <w:szCs w:val="32"/>
        </w:rPr>
        <w:t>2022</w:t>
      </w:r>
      <w:r>
        <w:rPr>
          <w:rFonts w:hAnsi="方正仿宋简体" w:eastAsia="方正仿宋简体"/>
          <w:color w:val="000000"/>
          <w:sz w:val="32"/>
          <w:szCs w:val="32"/>
        </w:rPr>
        <w:t>年未使用财政拨款经费开支公务用车运行维护费。</w:t>
      </w:r>
    </w:p>
    <w:p>
      <w:pPr>
        <w:spacing w:line="600" w:lineRule="exact"/>
        <w:ind w:firstLine="640"/>
        <w:rPr>
          <w:rFonts w:eastAsia="方正仿宋简体"/>
          <w:color w:val="000000"/>
          <w:sz w:val="32"/>
          <w:szCs w:val="32"/>
        </w:rPr>
      </w:pPr>
      <w:r>
        <w:rPr>
          <w:rFonts w:eastAsia="方正仿宋简体"/>
          <w:color w:val="000000"/>
          <w:sz w:val="32"/>
          <w:szCs w:val="32"/>
        </w:rPr>
        <w:t>3.</w:t>
      </w:r>
      <w:r>
        <w:rPr>
          <w:rFonts w:hAnsi="方正仿宋简体" w:eastAsia="方正仿宋简体"/>
          <w:b/>
          <w:bCs/>
          <w:color w:val="000000"/>
          <w:sz w:val="32"/>
          <w:szCs w:val="32"/>
        </w:rPr>
        <w:t>公务接待费支出</w:t>
      </w:r>
      <w:r>
        <w:rPr>
          <w:rFonts w:eastAsia="方正仿宋简体"/>
          <w:color w:val="000000"/>
          <w:sz w:val="32"/>
          <w:szCs w:val="32"/>
        </w:rPr>
        <w:t>0</w:t>
      </w:r>
      <w:r>
        <w:rPr>
          <w:rFonts w:hAnsi="方正仿宋简体" w:eastAsia="方正仿宋简体"/>
          <w:color w:val="000000"/>
          <w:sz w:val="32"/>
          <w:szCs w:val="32"/>
        </w:rPr>
        <w:t>万元</w:t>
      </w:r>
      <w:r>
        <w:rPr>
          <w:rFonts w:hint="eastAsia" w:ascii="仿宋_GB2312" w:eastAsia="仿宋_GB2312"/>
          <w:color w:val="auto"/>
          <w:sz w:val="32"/>
          <w:szCs w:val="32"/>
          <w:highlight w:val="none"/>
        </w:rPr>
        <w:t>，</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Ansi="方正仿宋简体" w:eastAsia="方正仿宋简体"/>
          <w:color w:val="000000"/>
          <w:sz w:val="32"/>
          <w:szCs w:val="32"/>
        </w:rPr>
        <w:t>公务接待费支出决算比</w:t>
      </w:r>
      <w:r>
        <w:rPr>
          <w:rFonts w:eastAsia="方正仿宋简体"/>
          <w:color w:val="000000"/>
          <w:sz w:val="32"/>
          <w:szCs w:val="32"/>
        </w:rPr>
        <w:t>2021</w:t>
      </w:r>
      <w:r>
        <w:rPr>
          <w:rFonts w:hAnsi="方正仿宋简体" w:eastAsia="方正仿宋简体"/>
          <w:color w:val="000000"/>
          <w:sz w:val="32"/>
          <w:szCs w:val="32"/>
        </w:rPr>
        <w:t>年减少</w:t>
      </w:r>
      <w:r>
        <w:rPr>
          <w:rFonts w:eastAsia="方正仿宋简体"/>
          <w:color w:val="000000"/>
          <w:sz w:val="32"/>
          <w:szCs w:val="32"/>
        </w:rPr>
        <w:t>0.11</w:t>
      </w:r>
      <w:r>
        <w:rPr>
          <w:rFonts w:hAnsi="方正仿宋简体" w:eastAsia="方正仿宋简体"/>
          <w:color w:val="000000"/>
          <w:sz w:val="32"/>
          <w:szCs w:val="32"/>
        </w:rPr>
        <w:t>万元，减少</w:t>
      </w:r>
      <w:r>
        <w:rPr>
          <w:rFonts w:eastAsia="方正仿宋简体"/>
          <w:color w:val="000000"/>
          <w:sz w:val="32"/>
          <w:szCs w:val="32"/>
        </w:rPr>
        <w:t>100%</w:t>
      </w:r>
      <w:r>
        <w:rPr>
          <w:rFonts w:hAnsi="方正仿宋简体" w:eastAsia="方正仿宋简体"/>
          <w:color w:val="000000"/>
          <w:sz w:val="32"/>
          <w:szCs w:val="32"/>
        </w:rPr>
        <w:t>。主要原因是</w:t>
      </w:r>
      <w:r>
        <w:rPr>
          <w:rFonts w:eastAsia="方正仿宋简体"/>
          <w:color w:val="000000"/>
          <w:sz w:val="32"/>
          <w:szCs w:val="32"/>
        </w:rPr>
        <w:t>2022</w:t>
      </w:r>
      <w:r>
        <w:rPr>
          <w:rFonts w:hAnsi="方正仿宋简体" w:eastAsia="方正仿宋简体"/>
          <w:color w:val="000000"/>
          <w:sz w:val="32"/>
          <w:szCs w:val="32"/>
        </w:rPr>
        <w:t>年</w:t>
      </w:r>
      <w:r>
        <w:rPr>
          <w:rFonts w:hint="eastAsia" w:hAnsi="方正仿宋简体" w:eastAsia="方正仿宋简体"/>
          <w:color w:val="000000"/>
          <w:sz w:val="32"/>
          <w:szCs w:val="32"/>
          <w:lang w:eastAsia="zh-CN"/>
        </w:rPr>
        <w:t>受疫情影响无接待任务，</w:t>
      </w:r>
      <w:r>
        <w:rPr>
          <w:rFonts w:hAnsi="方正仿宋简体" w:eastAsia="方正仿宋简体"/>
          <w:color w:val="000000"/>
          <w:sz w:val="32"/>
          <w:szCs w:val="32"/>
        </w:rPr>
        <w:t>未开支公务接待费。</w:t>
      </w:r>
      <w:bookmarkStart w:id="73" w:name="_Toc15377218"/>
      <w:bookmarkStart w:id="74" w:name="_Toc15396610"/>
      <w:r>
        <w:rPr>
          <w:rFonts w:hAnsi="方正仿宋简体" w:eastAsia="方正仿宋简体"/>
          <w:color w:val="000000"/>
          <w:sz w:val="32"/>
          <w:szCs w:val="32"/>
        </w:rPr>
        <w:t>其中：</w:t>
      </w:r>
    </w:p>
    <w:p>
      <w:pPr>
        <w:spacing w:line="600" w:lineRule="exact"/>
        <w:ind w:firstLine="640"/>
        <w:rPr>
          <w:rFonts w:eastAsia="方正仿宋简体"/>
          <w:color w:val="000000"/>
          <w:sz w:val="32"/>
          <w:szCs w:val="32"/>
        </w:rPr>
      </w:pPr>
      <w:r>
        <w:rPr>
          <w:rFonts w:hAnsi="方正仿宋简体" w:eastAsia="方正仿宋简体"/>
          <w:b/>
          <w:bCs/>
          <w:color w:val="000000"/>
          <w:sz w:val="32"/>
          <w:szCs w:val="32"/>
        </w:rPr>
        <w:t>国内公务接待支出</w:t>
      </w:r>
      <w:r>
        <w:rPr>
          <w:rFonts w:eastAsia="方正仿宋简体"/>
          <w:color w:val="000000"/>
          <w:sz w:val="32"/>
          <w:szCs w:val="32"/>
        </w:rPr>
        <w:t>0</w:t>
      </w:r>
      <w:r>
        <w:rPr>
          <w:rFonts w:hAnsi="方正仿宋简体" w:eastAsia="方正仿宋简体"/>
          <w:color w:val="000000"/>
          <w:sz w:val="32"/>
          <w:szCs w:val="32"/>
        </w:rPr>
        <w:t>万元</w:t>
      </w:r>
      <w:r>
        <w:rPr>
          <w:rFonts w:hint="eastAsia" w:hAnsi="方正仿宋简体" w:eastAsia="方正仿宋简体"/>
          <w:color w:val="000000"/>
          <w:sz w:val="32"/>
          <w:szCs w:val="32"/>
          <w:lang w:eastAsia="zh-CN"/>
        </w:rPr>
        <w:t>。</w:t>
      </w:r>
      <w:r>
        <w:rPr>
          <w:rFonts w:hAnsi="方正仿宋简体" w:eastAsia="方正仿宋简体"/>
          <w:color w:val="000000"/>
          <w:sz w:val="32"/>
          <w:szCs w:val="32"/>
        </w:rPr>
        <w:t>国内公务接待</w:t>
      </w:r>
      <w:r>
        <w:rPr>
          <w:rFonts w:eastAsia="方正仿宋简体"/>
          <w:color w:val="000000"/>
          <w:sz w:val="32"/>
          <w:szCs w:val="32"/>
        </w:rPr>
        <w:t>0</w:t>
      </w:r>
      <w:r>
        <w:rPr>
          <w:rFonts w:hAnsi="方正仿宋简体" w:eastAsia="方正仿宋简体"/>
          <w:color w:val="000000"/>
          <w:sz w:val="32"/>
          <w:szCs w:val="32"/>
        </w:rPr>
        <w:t>批次，</w:t>
      </w:r>
      <w:r>
        <w:rPr>
          <w:rFonts w:eastAsia="方正仿宋简体"/>
          <w:color w:val="000000"/>
          <w:sz w:val="32"/>
          <w:szCs w:val="32"/>
        </w:rPr>
        <w:t>0</w:t>
      </w:r>
      <w:r>
        <w:rPr>
          <w:rFonts w:hAnsi="方正仿宋简体" w:eastAsia="方正仿宋简体"/>
          <w:color w:val="000000"/>
          <w:sz w:val="32"/>
          <w:szCs w:val="32"/>
        </w:rPr>
        <w:t>人次</w:t>
      </w:r>
      <w:r>
        <w:rPr>
          <w:rFonts w:eastAsia="方正仿宋简体"/>
          <w:sz w:val="32"/>
          <w:szCs w:val="32"/>
        </w:rPr>
        <w:t>（不包括陪同人员）</w:t>
      </w:r>
      <w:r>
        <w:rPr>
          <w:rFonts w:hAnsi="方正仿宋简体" w:eastAsia="方正仿宋简体"/>
          <w:color w:val="000000"/>
          <w:sz w:val="32"/>
          <w:szCs w:val="32"/>
        </w:rPr>
        <w:t>，共计支出</w:t>
      </w:r>
      <w:r>
        <w:rPr>
          <w:rFonts w:eastAsia="方正仿宋简体"/>
          <w:color w:val="000000"/>
          <w:sz w:val="32"/>
          <w:szCs w:val="32"/>
        </w:rPr>
        <w:t>0</w:t>
      </w:r>
      <w:r>
        <w:rPr>
          <w:rFonts w:hAnsi="方正仿宋简体" w:eastAsia="方正仿宋简体"/>
          <w:color w:val="000000"/>
          <w:sz w:val="32"/>
          <w:szCs w:val="32"/>
        </w:rPr>
        <w:t>万元。</w:t>
      </w:r>
    </w:p>
    <w:p>
      <w:pPr>
        <w:spacing w:line="600" w:lineRule="exact"/>
        <w:ind w:firstLine="643" w:firstLineChars="200"/>
        <w:rPr>
          <w:rFonts w:eastAsia="方正仿宋简体"/>
          <w:sz w:val="32"/>
          <w:szCs w:val="32"/>
        </w:rPr>
      </w:pPr>
      <w:r>
        <w:rPr>
          <w:rFonts w:hAnsi="方正仿宋简体" w:eastAsia="方正仿宋简体"/>
          <w:b/>
          <w:bCs/>
          <w:color w:val="000000"/>
          <w:sz w:val="32"/>
          <w:szCs w:val="32"/>
        </w:rPr>
        <w:t>外事接待支出</w:t>
      </w:r>
      <w:r>
        <w:rPr>
          <w:rFonts w:eastAsia="方正仿宋简体"/>
          <w:color w:val="000000"/>
          <w:sz w:val="32"/>
          <w:szCs w:val="32"/>
        </w:rPr>
        <w:t>0</w:t>
      </w:r>
      <w:r>
        <w:rPr>
          <w:rFonts w:hAnsi="方正仿宋简体" w:eastAsia="方正仿宋简体"/>
          <w:color w:val="000000"/>
          <w:sz w:val="32"/>
          <w:szCs w:val="32"/>
        </w:rPr>
        <w:t>万元。</w:t>
      </w:r>
      <w:r>
        <w:rPr>
          <w:rFonts w:eastAsia="方正仿宋简体"/>
          <w:sz w:val="32"/>
          <w:szCs w:val="32"/>
        </w:rPr>
        <w:t>外事接待0批次，0人次（不包括陪同人员），共计支出0万元。</w:t>
      </w:r>
    </w:p>
    <w:p>
      <w:pPr>
        <w:spacing w:line="600" w:lineRule="exact"/>
        <w:ind w:firstLine="640"/>
        <w:outlineLvl w:val="1"/>
        <w:rPr>
          <w:rStyle w:val="28"/>
          <w:rFonts w:ascii="Times New Roman" w:hAnsi="Times New Roman" w:eastAsia="方正黑体简体" w:cs="Times New Roman"/>
          <w:b w:val="0"/>
          <w:bCs w:val="0"/>
        </w:rPr>
      </w:pPr>
      <w:bookmarkStart w:id="75" w:name="_Toc80458063"/>
      <w:r>
        <w:rPr>
          <w:rFonts w:hAnsi="方正黑体简体" w:eastAsia="方正黑体简体"/>
          <w:color w:val="000000"/>
          <w:sz w:val="32"/>
          <w:szCs w:val="32"/>
        </w:rPr>
        <w:t>八、</w:t>
      </w:r>
      <w:r>
        <w:rPr>
          <w:rStyle w:val="28"/>
          <w:rFonts w:ascii="Times New Roman" w:hAnsi="方正黑体简体" w:eastAsia="方正黑体简体" w:cs="Times New Roman"/>
          <w:b w:val="0"/>
          <w:bCs w:val="0"/>
        </w:rPr>
        <w:t>政府性基金预算支出决算情况说明</w:t>
      </w:r>
      <w:bookmarkEnd w:id="73"/>
      <w:bookmarkEnd w:id="74"/>
      <w:bookmarkEnd w:id="75"/>
    </w:p>
    <w:p>
      <w:pPr>
        <w:spacing w:line="600" w:lineRule="exact"/>
        <w:ind w:firstLine="640"/>
        <w:rPr>
          <w:rFonts w:eastAsia="方正仿宋简体"/>
          <w:color w:val="000000"/>
          <w:sz w:val="32"/>
          <w:szCs w:val="32"/>
        </w:rPr>
      </w:pPr>
      <w:r>
        <w:rPr>
          <w:rFonts w:eastAsia="方正仿宋简体"/>
          <w:color w:val="000000"/>
          <w:sz w:val="32"/>
          <w:szCs w:val="32"/>
        </w:rPr>
        <w:t>2022</w:t>
      </w:r>
      <w:r>
        <w:rPr>
          <w:rFonts w:hAnsi="方正仿宋简体" w:eastAsia="方正仿宋简体"/>
          <w:color w:val="000000"/>
          <w:sz w:val="32"/>
          <w:szCs w:val="32"/>
        </w:rPr>
        <w:t>年政府性基金预算财政拨款支出</w:t>
      </w:r>
      <w:r>
        <w:rPr>
          <w:rFonts w:eastAsia="方正仿宋简体"/>
          <w:color w:val="000000"/>
          <w:sz w:val="32"/>
          <w:szCs w:val="32"/>
        </w:rPr>
        <w:t>0</w:t>
      </w:r>
      <w:r>
        <w:rPr>
          <w:rFonts w:hAnsi="方正仿宋简体" w:eastAsia="方正仿宋简体"/>
          <w:color w:val="000000"/>
          <w:sz w:val="32"/>
          <w:szCs w:val="32"/>
        </w:rPr>
        <w:t>万元。</w:t>
      </w:r>
    </w:p>
    <w:p>
      <w:pPr>
        <w:numPr>
          <w:ilvl w:val="0"/>
          <w:numId w:val="4"/>
        </w:numPr>
        <w:spacing w:line="600" w:lineRule="exact"/>
        <w:ind w:firstLine="640"/>
        <w:outlineLvl w:val="1"/>
        <w:rPr>
          <w:rStyle w:val="28"/>
          <w:rFonts w:ascii="Times New Roman" w:hAnsi="Times New Roman" w:eastAsia="方正黑体简体" w:cs="Times New Roman"/>
          <w:b w:val="0"/>
        </w:rPr>
      </w:pPr>
      <w:bookmarkStart w:id="76" w:name="_Toc80458064"/>
      <w:bookmarkStart w:id="77" w:name="_Toc15377219"/>
      <w:bookmarkStart w:id="78" w:name="_Toc15396611"/>
      <w:r>
        <w:rPr>
          <w:rStyle w:val="28"/>
          <w:rFonts w:ascii="Times New Roman" w:hAnsi="方正黑体简体" w:eastAsia="方正黑体简体" w:cs="Times New Roman"/>
          <w:b w:val="0"/>
        </w:rPr>
        <w:t>国有资本经营预算支出决算情况说明</w:t>
      </w:r>
      <w:bookmarkEnd w:id="76"/>
      <w:bookmarkEnd w:id="77"/>
      <w:bookmarkEnd w:id="78"/>
    </w:p>
    <w:p>
      <w:pPr>
        <w:spacing w:line="600" w:lineRule="exact"/>
        <w:ind w:firstLine="640"/>
        <w:rPr>
          <w:rFonts w:eastAsia="方正仿宋简体"/>
          <w:color w:val="000000"/>
          <w:sz w:val="32"/>
          <w:szCs w:val="32"/>
        </w:rPr>
      </w:pPr>
      <w:r>
        <w:rPr>
          <w:rFonts w:eastAsia="方正仿宋简体"/>
          <w:color w:val="000000"/>
          <w:sz w:val="32"/>
          <w:szCs w:val="32"/>
        </w:rPr>
        <w:t>2022</w:t>
      </w:r>
      <w:r>
        <w:rPr>
          <w:rFonts w:hAnsi="方正仿宋简体" w:eastAsia="方正仿宋简体"/>
          <w:color w:val="000000"/>
          <w:sz w:val="32"/>
          <w:szCs w:val="32"/>
        </w:rPr>
        <w:t>年国有资本经营预算财政拨款支出</w:t>
      </w:r>
      <w:r>
        <w:rPr>
          <w:rFonts w:eastAsia="方正仿宋简体"/>
          <w:color w:val="000000"/>
          <w:sz w:val="32"/>
          <w:szCs w:val="32"/>
        </w:rPr>
        <w:t>0</w:t>
      </w:r>
      <w:r>
        <w:rPr>
          <w:rFonts w:hAnsi="方正仿宋简体" w:eastAsia="方正仿宋简体"/>
          <w:color w:val="000000"/>
          <w:sz w:val="32"/>
          <w:szCs w:val="32"/>
        </w:rPr>
        <w:t>万元。</w:t>
      </w:r>
    </w:p>
    <w:p>
      <w:pPr>
        <w:numPr>
          <w:ilvl w:val="0"/>
          <w:numId w:val="4"/>
        </w:numPr>
        <w:spacing w:line="600" w:lineRule="exact"/>
        <w:ind w:firstLine="640"/>
        <w:outlineLvl w:val="1"/>
        <w:rPr>
          <w:rStyle w:val="28"/>
          <w:rFonts w:ascii="Times New Roman" w:hAnsi="Times New Roman" w:eastAsia="方正黑体简体" w:cs="Times New Roman"/>
          <w:b w:val="0"/>
        </w:rPr>
      </w:pPr>
      <w:bookmarkStart w:id="79" w:name="_Toc15396612"/>
      <w:bookmarkStart w:id="80" w:name="_Toc80458065"/>
      <w:bookmarkStart w:id="81" w:name="_Toc15377221"/>
      <w:r>
        <w:rPr>
          <w:rStyle w:val="28"/>
          <w:rFonts w:ascii="Times New Roman" w:hAnsi="方正黑体简体" w:eastAsia="方正黑体简体" w:cs="Times New Roman"/>
          <w:b w:val="0"/>
        </w:rPr>
        <w:t>其他重要事项的情况说明</w:t>
      </w:r>
      <w:bookmarkEnd w:id="79"/>
      <w:bookmarkEnd w:id="80"/>
      <w:bookmarkEnd w:id="81"/>
    </w:p>
    <w:p>
      <w:pPr>
        <w:spacing w:line="600" w:lineRule="exact"/>
        <w:ind w:firstLine="640" w:firstLineChars="200"/>
        <w:outlineLvl w:val="2"/>
        <w:rPr>
          <w:rFonts w:eastAsia="方正楷体简体"/>
          <w:color w:val="000000"/>
          <w:sz w:val="32"/>
          <w:szCs w:val="32"/>
        </w:rPr>
      </w:pPr>
      <w:bookmarkStart w:id="82" w:name="_Toc80458066"/>
      <w:bookmarkStart w:id="83" w:name="_Toc80456675"/>
      <w:bookmarkStart w:id="84" w:name="_Toc15377222"/>
      <w:r>
        <w:rPr>
          <w:rFonts w:hAnsi="方正楷体简体" w:eastAsia="方正楷体简体"/>
          <w:color w:val="000000"/>
          <w:sz w:val="32"/>
          <w:szCs w:val="32"/>
        </w:rPr>
        <w:t>（一）机关运行经费支出情况</w:t>
      </w:r>
      <w:bookmarkEnd w:id="82"/>
      <w:bookmarkEnd w:id="83"/>
      <w:bookmarkEnd w:id="84"/>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hAnsi="方正仿宋简体" w:eastAsia="方正仿宋简体"/>
          <w:color w:val="000000"/>
          <w:sz w:val="32"/>
          <w:szCs w:val="32"/>
        </w:rPr>
        <w:t>四川省退役军人培训中心</w:t>
      </w:r>
      <w:r>
        <w:rPr>
          <w:rFonts w:hint="eastAsia" w:hAnsi="方正仿宋简体" w:eastAsia="方正仿宋简体"/>
          <w:color w:val="000000"/>
          <w:sz w:val="32"/>
          <w:szCs w:val="32"/>
          <w:lang w:eastAsia="zh-CN"/>
        </w:rPr>
        <w:t>（</w:t>
      </w:r>
      <w:r>
        <w:rPr>
          <w:rFonts w:hint="eastAsia" w:hAnsi="方正仿宋简体" w:eastAsia="方正仿宋简体"/>
          <w:color w:val="000000"/>
          <w:sz w:val="32"/>
          <w:szCs w:val="32"/>
          <w:lang w:val="en-US" w:eastAsia="zh-CN"/>
        </w:rPr>
        <w:t>四川省军地人才培训中心</w:t>
      </w:r>
      <w:r>
        <w:rPr>
          <w:rFonts w:hint="eastAsia" w:hAnsi="方正仿宋简体" w:eastAsia="方正仿宋简体"/>
          <w:color w:val="000000"/>
          <w:sz w:val="32"/>
          <w:szCs w:val="32"/>
          <w:lang w:eastAsia="zh-CN"/>
        </w:rPr>
        <w:t>）</w:t>
      </w:r>
      <w:r>
        <w:rPr>
          <w:rFonts w:hAnsi="方正仿宋简体" w:eastAsia="方正仿宋简体"/>
          <w:color w:val="000000"/>
          <w:sz w:val="32"/>
          <w:szCs w:val="32"/>
        </w:rPr>
        <w:t>为事业单位</w:t>
      </w:r>
      <w:r>
        <w:rPr>
          <w:rFonts w:hint="eastAsia" w:eastAsia="方正仿宋简体"/>
          <w:color w:val="000000"/>
          <w:sz w:val="32"/>
          <w:szCs w:val="32"/>
          <w:lang w:eastAsia="zh-CN"/>
        </w:rPr>
        <w:t>，</w:t>
      </w:r>
      <w:r>
        <w:rPr>
          <w:rFonts w:hAnsi="方正仿宋简体" w:eastAsia="方正仿宋简体"/>
          <w:color w:val="000000"/>
          <w:sz w:val="32"/>
          <w:szCs w:val="32"/>
        </w:rPr>
        <w:t>未开支机关运行经费。</w:t>
      </w:r>
    </w:p>
    <w:p>
      <w:pPr>
        <w:spacing w:line="600" w:lineRule="exact"/>
        <w:ind w:firstLine="640" w:firstLineChars="200"/>
        <w:outlineLvl w:val="2"/>
        <w:rPr>
          <w:rFonts w:eastAsia="方正楷体简体"/>
          <w:color w:val="000000"/>
          <w:sz w:val="32"/>
          <w:szCs w:val="32"/>
        </w:rPr>
      </w:pPr>
      <w:bookmarkStart w:id="85" w:name="_Toc80456676"/>
      <w:bookmarkStart w:id="86" w:name="_Toc15377223"/>
      <w:bookmarkStart w:id="87" w:name="_Toc80458067"/>
      <w:r>
        <w:rPr>
          <w:rFonts w:hAnsi="方正楷体简体" w:eastAsia="方正楷体简体"/>
          <w:color w:val="000000"/>
          <w:sz w:val="32"/>
          <w:szCs w:val="32"/>
        </w:rPr>
        <w:t>（二）政府采购支出情况</w:t>
      </w:r>
      <w:bookmarkEnd w:id="85"/>
      <w:bookmarkEnd w:id="86"/>
      <w:bookmarkEnd w:id="87"/>
    </w:p>
    <w:p>
      <w:pPr>
        <w:spacing w:line="600" w:lineRule="exact"/>
        <w:ind w:firstLine="640" w:firstLineChars="200"/>
        <w:rPr>
          <w:rFonts w:eastAsia="方正仿宋简体"/>
          <w:color w:val="000000"/>
          <w:sz w:val="32"/>
          <w:szCs w:val="32"/>
        </w:rPr>
      </w:pPr>
      <w:r>
        <w:rPr>
          <w:rFonts w:eastAsia="方正仿宋简体"/>
          <w:color w:val="000000"/>
          <w:sz w:val="32"/>
          <w:szCs w:val="32"/>
        </w:rPr>
        <w:t>2022</w:t>
      </w:r>
      <w:r>
        <w:rPr>
          <w:rFonts w:hAnsi="方正仿宋简体" w:eastAsia="方正仿宋简体"/>
          <w:color w:val="000000"/>
          <w:sz w:val="32"/>
          <w:szCs w:val="32"/>
        </w:rPr>
        <w:t>年，本单位政府采购支出总额</w:t>
      </w:r>
      <w:r>
        <w:rPr>
          <w:rFonts w:eastAsia="方正仿宋简体"/>
          <w:color w:val="000000"/>
          <w:sz w:val="32"/>
          <w:szCs w:val="32"/>
        </w:rPr>
        <w:t>0</w:t>
      </w:r>
      <w:r>
        <w:rPr>
          <w:rFonts w:hAnsi="方正仿宋简体" w:eastAsia="方正仿宋简体"/>
          <w:color w:val="000000"/>
          <w:sz w:val="32"/>
          <w:szCs w:val="32"/>
        </w:rPr>
        <w:t>万元，其中：政府采购货物支出</w:t>
      </w:r>
      <w:r>
        <w:rPr>
          <w:rFonts w:eastAsia="方正仿宋简体"/>
          <w:color w:val="000000"/>
          <w:sz w:val="32"/>
          <w:szCs w:val="32"/>
        </w:rPr>
        <w:t>0</w:t>
      </w:r>
      <w:r>
        <w:rPr>
          <w:rFonts w:hAnsi="方正仿宋简体" w:eastAsia="方正仿宋简体"/>
          <w:color w:val="000000"/>
          <w:sz w:val="32"/>
          <w:szCs w:val="32"/>
        </w:rPr>
        <w:t>万元、政府采购工程支出</w:t>
      </w:r>
      <w:r>
        <w:rPr>
          <w:rFonts w:eastAsia="方正仿宋简体"/>
          <w:color w:val="000000"/>
          <w:sz w:val="32"/>
          <w:szCs w:val="32"/>
        </w:rPr>
        <w:t>0</w:t>
      </w:r>
      <w:r>
        <w:rPr>
          <w:rFonts w:hAnsi="方正仿宋简体" w:eastAsia="方正仿宋简体"/>
          <w:color w:val="000000"/>
          <w:sz w:val="32"/>
          <w:szCs w:val="32"/>
        </w:rPr>
        <w:t>万元、政府采购服务支出</w:t>
      </w:r>
      <w:r>
        <w:rPr>
          <w:rFonts w:eastAsia="方正仿宋简体"/>
          <w:color w:val="000000"/>
          <w:sz w:val="32"/>
          <w:szCs w:val="32"/>
        </w:rPr>
        <w:t>0</w:t>
      </w:r>
      <w:r>
        <w:rPr>
          <w:rFonts w:hAnsi="方正仿宋简体" w:eastAsia="方正仿宋简体"/>
          <w:color w:val="000000"/>
          <w:sz w:val="32"/>
          <w:szCs w:val="32"/>
        </w:rPr>
        <w:t>万元。授予中小企业合同金额</w:t>
      </w:r>
      <w:r>
        <w:rPr>
          <w:rFonts w:eastAsia="方正仿宋简体"/>
          <w:color w:val="000000"/>
          <w:sz w:val="32"/>
          <w:szCs w:val="32"/>
        </w:rPr>
        <w:t>0</w:t>
      </w:r>
      <w:r>
        <w:rPr>
          <w:rFonts w:hAnsi="方正仿宋简体" w:eastAsia="方正仿宋简体"/>
          <w:color w:val="000000"/>
          <w:sz w:val="32"/>
          <w:szCs w:val="32"/>
        </w:rPr>
        <w:t>万元，其中：授予小微企业合同金额</w:t>
      </w:r>
      <w:r>
        <w:rPr>
          <w:rFonts w:eastAsia="方正仿宋简体"/>
          <w:color w:val="000000"/>
          <w:sz w:val="32"/>
          <w:szCs w:val="32"/>
        </w:rPr>
        <w:t>0</w:t>
      </w:r>
      <w:r>
        <w:rPr>
          <w:rFonts w:hAnsi="方正仿宋简体" w:eastAsia="方正仿宋简体"/>
          <w:color w:val="000000"/>
          <w:sz w:val="32"/>
          <w:szCs w:val="32"/>
        </w:rPr>
        <w:t>万元。</w:t>
      </w:r>
    </w:p>
    <w:p>
      <w:pPr>
        <w:spacing w:line="600" w:lineRule="exact"/>
        <w:ind w:firstLine="640" w:firstLineChars="200"/>
        <w:outlineLvl w:val="2"/>
        <w:rPr>
          <w:rFonts w:eastAsia="方正楷体简体"/>
          <w:color w:val="000000"/>
          <w:sz w:val="32"/>
          <w:szCs w:val="32"/>
        </w:rPr>
      </w:pPr>
      <w:bookmarkStart w:id="88" w:name="_Toc80456677"/>
      <w:bookmarkStart w:id="89" w:name="_Toc15377224"/>
      <w:bookmarkStart w:id="90" w:name="_Toc80458068"/>
      <w:r>
        <w:rPr>
          <w:rFonts w:hAnsi="方正楷体简体" w:eastAsia="方正楷体简体"/>
          <w:color w:val="000000"/>
          <w:sz w:val="32"/>
          <w:szCs w:val="32"/>
        </w:rPr>
        <w:t>（三）国有资产占有使用情况</w:t>
      </w:r>
      <w:bookmarkEnd w:id="88"/>
      <w:bookmarkEnd w:id="89"/>
      <w:bookmarkEnd w:id="90"/>
    </w:p>
    <w:p>
      <w:pPr>
        <w:autoSpaceDE w:val="0"/>
        <w:autoSpaceDN w:val="0"/>
        <w:adjustRightInd w:val="0"/>
        <w:spacing w:line="600" w:lineRule="exact"/>
        <w:ind w:firstLine="640" w:firstLineChars="200"/>
        <w:jc w:val="left"/>
        <w:rPr>
          <w:rFonts w:eastAsia="方正仿宋简体"/>
          <w:color w:val="000000"/>
          <w:sz w:val="32"/>
          <w:szCs w:val="32"/>
        </w:rPr>
      </w:pPr>
      <w:r>
        <w:rPr>
          <w:rFonts w:hAnsi="方正仿宋简体" w:eastAsia="方正仿宋简体"/>
          <w:color w:val="000000"/>
          <w:sz w:val="32"/>
          <w:szCs w:val="32"/>
        </w:rPr>
        <w:t>截至</w:t>
      </w:r>
      <w:r>
        <w:rPr>
          <w:rFonts w:eastAsia="方正仿宋简体"/>
          <w:color w:val="000000"/>
          <w:sz w:val="32"/>
          <w:szCs w:val="32"/>
        </w:rPr>
        <w:t>2022</w:t>
      </w:r>
      <w:r>
        <w:rPr>
          <w:rFonts w:hAnsi="方正仿宋简体" w:eastAsia="方正仿宋简体"/>
          <w:color w:val="000000"/>
          <w:sz w:val="32"/>
          <w:szCs w:val="32"/>
        </w:rPr>
        <w:t>年</w:t>
      </w:r>
      <w:r>
        <w:rPr>
          <w:rFonts w:eastAsia="方正仿宋简体"/>
          <w:color w:val="000000"/>
          <w:sz w:val="32"/>
          <w:szCs w:val="32"/>
        </w:rPr>
        <w:t>12</w:t>
      </w:r>
      <w:r>
        <w:rPr>
          <w:rFonts w:hAnsi="方正仿宋简体" w:eastAsia="方正仿宋简体"/>
          <w:color w:val="000000"/>
          <w:sz w:val="32"/>
          <w:szCs w:val="32"/>
        </w:rPr>
        <w:t>月</w:t>
      </w:r>
      <w:r>
        <w:rPr>
          <w:rFonts w:eastAsia="方正仿宋简体"/>
          <w:color w:val="000000"/>
          <w:sz w:val="32"/>
          <w:szCs w:val="32"/>
        </w:rPr>
        <w:t>31</w:t>
      </w:r>
      <w:r>
        <w:rPr>
          <w:rFonts w:hAnsi="方正仿宋简体" w:eastAsia="方正仿宋简体"/>
          <w:color w:val="000000"/>
          <w:sz w:val="32"/>
          <w:szCs w:val="32"/>
        </w:rPr>
        <w:t>日，本单位共有车辆</w:t>
      </w:r>
      <w:r>
        <w:rPr>
          <w:rFonts w:eastAsia="方正仿宋简体"/>
          <w:color w:val="000000"/>
          <w:sz w:val="32"/>
          <w:szCs w:val="32"/>
        </w:rPr>
        <w:t>3</w:t>
      </w:r>
      <w:r>
        <w:rPr>
          <w:rFonts w:hAnsi="方正仿宋简体" w:eastAsia="方正仿宋简体"/>
          <w:color w:val="000000"/>
          <w:sz w:val="32"/>
          <w:szCs w:val="32"/>
        </w:rPr>
        <w:t>辆，其中：主要领导干部用车</w:t>
      </w:r>
      <w:r>
        <w:rPr>
          <w:rFonts w:eastAsia="方正仿宋简体"/>
          <w:color w:val="000000"/>
          <w:sz w:val="32"/>
          <w:szCs w:val="32"/>
        </w:rPr>
        <w:t>0</w:t>
      </w:r>
      <w:r>
        <w:rPr>
          <w:rFonts w:hAnsi="方正仿宋简体" w:eastAsia="方正仿宋简体"/>
          <w:color w:val="000000"/>
          <w:sz w:val="32"/>
          <w:szCs w:val="32"/>
        </w:rPr>
        <w:t>辆、机要通信用车</w:t>
      </w:r>
      <w:r>
        <w:rPr>
          <w:rFonts w:eastAsia="方正仿宋简体"/>
          <w:color w:val="000000"/>
          <w:sz w:val="32"/>
          <w:szCs w:val="32"/>
        </w:rPr>
        <w:t>0</w:t>
      </w:r>
      <w:r>
        <w:rPr>
          <w:rFonts w:hAnsi="方正仿宋简体" w:eastAsia="方正仿宋简体"/>
          <w:color w:val="000000"/>
          <w:sz w:val="32"/>
          <w:szCs w:val="32"/>
        </w:rPr>
        <w:t>辆、应急保障用车</w:t>
      </w:r>
      <w:r>
        <w:rPr>
          <w:rFonts w:eastAsia="方正仿宋简体"/>
          <w:color w:val="000000"/>
          <w:sz w:val="32"/>
          <w:szCs w:val="32"/>
        </w:rPr>
        <w:t>0</w:t>
      </w:r>
      <w:r>
        <w:rPr>
          <w:rFonts w:hAnsi="方正仿宋简体" w:eastAsia="方正仿宋简体"/>
          <w:color w:val="000000"/>
          <w:sz w:val="32"/>
          <w:szCs w:val="32"/>
        </w:rPr>
        <w:t>辆、其他用车</w:t>
      </w:r>
      <w:r>
        <w:rPr>
          <w:rFonts w:eastAsia="方正仿宋简体"/>
          <w:color w:val="000000"/>
          <w:sz w:val="32"/>
          <w:szCs w:val="32"/>
        </w:rPr>
        <w:t>3</w:t>
      </w:r>
      <w:r>
        <w:rPr>
          <w:rFonts w:hAnsi="方正仿宋简体" w:eastAsia="方正仿宋简体"/>
          <w:color w:val="000000"/>
          <w:sz w:val="32"/>
          <w:szCs w:val="32"/>
        </w:rPr>
        <w:t>辆，其他用车主要是用于保障正常公务活动的开展。单价</w:t>
      </w:r>
      <w:r>
        <w:rPr>
          <w:rFonts w:eastAsia="方正仿宋简体"/>
          <w:color w:val="000000"/>
          <w:sz w:val="32"/>
          <w:szCs w:val="32"/>
        </w:rPr>
        <w:t>100</w:t>
      </w:r>
      <w:r>
        <w:rPr>
          <w:rFonts w:hAnsi="方正仿宋简体" w:eastAsia="方正仿宋简体"/>
          <w:color w:val="000000"/>
          <w:sz w:val="32"/>
          <w:szCs w:val="32"/>
        </w:rPr>
        <w:t>万元</w:t>
      </w:r>
      <w:r>
        <w:rPr>
          <w:rFonts w:hint="eastAsia" w:hAnsi="方正仿宋简体" w:eastAsia="方正仿宋简体"/>
          <w:color w:val="000000"/>
          <w:sz w:val="32"/>
          <w:szCs w:val="32"/>
        </w:rPr>
        <w:t>（含）</w:t>
      </w:r>
      <w:r>
        <w:rPr>
          <w:rFonts w:hAnsi="方正仿宋简体" w:eastAsia="方正仿宋简体"/>
          <w:color w:val="000000"/>
          <w:sz w:val="32"/>
          <w:szCs w:val="32"/>
        </w:rPr>
        <w:t>以上设备</w:t>
      </w:r>
      <w:r>
        <w:rPr>
          <w:rFonts w:hint="eastAsia" w:hAnsi="方正仿宋简体" w:eastAsia="方正仿宋简体"/>
          <w:color w:val="000000"/>
          <w:sz w:val="32"/>
          <w:szCs w:val="32"/>
        </w:rPr>
        <w:t>（不含车辆）</w:t>
      </w:r>
      <w:r>
        <w:rPr>
          <w:rFonts w:eastAsia="方正仿宋简体"/>
          <w:color w:val="000000"/>
          <w:sz w:val="32"/>
          <w:szCs w:val="32"/>
        </w:rPr>
        <w:t>1</w:t>
      </w:r>
      <w:r>
        <w:rPr>
          <w:rFonts w:hAnsi="方正仿宋简体" w:eastAsia="方正仿宋简体"/>
          <w:color w:val="000000"/>
          <w:sz w:val="32"/>
          <w:szCs w:val="32"/>
        </w:rPr>
        <w:t>台（套）。</w:t>
      </w:r>
    </w:p>
    <w:p>
      <w:pPr>
        <w:spacing w:line="600" w:lineRule="exact"/>
        <w:ind w:firstLine="640" w:firstLineChars="200"/>
        <w:outlineLvl w:val="2"/>
        <w:rPr>
          <w:rFonts w:eastAsia="方正楷体简体"/>
          <w:color w:val="000000"/>
          <w:sz w:val="32"/>
          <w:szCs w:val="32"/>
        </w:rPr>
      </w:pPr>
      <w:bookmarkStart w:id="91" w:name="_Toc80458069"/>
      <w:bookmarkStart w:id="92" w:name="_Toc80456678"/>
      <w:r>
        <w:rPr>
          <w:rFonts w:hAnsi="方正楷体简体" w:eastAsia="方正楷体简体"/>
          <w:color w:val="000000"/>
          <w:sz w:val="32"/>
          <w:szCs w:val="32"/>
        </w:rPr>
        <w:t>（四）预算绩效管理情况</w:t>
      </w:r>
      <w:bookmarkEnd w:id="91"/>
      <w:bookmarkEnd w:id="92"/>
    </w:p>
    <w:p>
      <w:pPr>
        <w:autoSpaceDE w:val="0"/>
        <w:autoSpaceDN w:val="0"/>
        <w:adjustRightInd w:val="0"/>
        <w:spacing w:line="600" w:lineRule="exact"/>
        <w:ind w:firstLine="640" w:firstLineChars="200"/>
        <w:jc w:val="left"/>
        <w:rPr>
          <w:rFonts w:eastAsia="方正仿宋简体"/>
          <w:color w:val="000000"/>
          <w:sz w:val="32"/>
          <w:szCs w:val="32"/>
        </w:rPr>
      </w:pPr>
      <w:r>
        <w:rPr>
          <w:rFonts w:eastAsia="方正仿宋简体"/>
          <w:color w:val="000000" w:themeColor="text1"/>
          <w:sz w:val="32"/>
          <w:szCs w:val="32"/>
          <w14:textFill>
            <w14:solidFill>
              <w14:schemeClr w14:val="tx1"/>
            </w14:solidFill>
          </w14:textFill>
        </w:rPr>
        <w:t>根据预算绩效管理要求，本单位在2022年度预算编制阶段，</w:t>
      </w:r>
      <w:r>
        <w:rPr>
          <w:rFonts w:hint="eastAsia" w:eastAsia="方正仿宋简体"/>
          <w:color w:val="000000" w:themeColor="text1"/>
          <w:sz w:val="32"/>
          <w:szCs w:val="32"/>
          <w:lang w:eastAsia="zh-CN"/>
          <w14:textFill>
            <w14:solidFill>
              <w14:schemeClr w14:val="tx1"/>
            </w14:solidFill>
          </w14:textFill>
        </w:rPr>
        <w:t>组织对</w:t>
      </w:r>
      <w:r>
        <w:rPr>
          <w:rFonts w:hint="eastAsia" w:eastAsia="方正仿宋简体"/>
          <w:color w:val="000000" w:themeColor="text1"/>
          <w:sz w:val="32"/>
          <w:szCs w:val="32"/>
          <w:lang w:val="en-US" w:eastAsia="zh-CN"/>
          <w14:textFill>
            <w14:solidFill>
              <w14:schemeClr w14:val="tx1"/>
            </w14:solidFill>
          </w14:textFill>
        </w:rPr>
        <w:t>0个项目</w:t>
      </w:r>
      <w:r>
        <w:rPr>
          <w:rFonts w:hint="eastAsia" w:eastAsia="方正仿宋简体"/>
          <w:color w:val="000000" w:themeColor="text1"/>
          <w:sz w:val="32"/>
          <w:szCs w:val="32"/>
          <w14:textFill>
            <w14:solidFill>
              <w14:schemeClr w14:val="tx1"/>
            </w14:solidFill>
          </w14:textFill>
        </w:rPr>
        <w:t>开展</w:t>
      </w:r>
      <w:r>
        <w:rPr>
          <w:rFonts w:hint="eastAsia" w:eastAsia="方正仿宋简体"/>
          <w:color w:val="000000" w:themeColor="text1"/>
          <w:sz w:val="32"/>
          <w:szCs w:val="32"/>
          <w:lang w:eastAsia="zh-CN"/>
          <w14:textFill>
            <w14:solidFill>
              <w14:schemeClr w14:val="tx1"/>
            </w14:solidFill>
          </w14:textFill>
        </w:rPr>
        <w:t>了</w:t>
      </w:r>
      <w:r>
        <w:rPr>
          <w:rFonts w:eastAsia="方正仿宋简体"/>
          <w:color w:val="000000" w:themeColor="text1"/>
          <w:sz w:val="32"/>
          <w:szCs w:val="32"/>
          <w14:textFill>
            <w14:solidFill>
              <w14:schemeClr w14:val="tx1"/>
            </w14:solidFill>
          </w14:textFill>
        </w:rPr>
        <w:t>预算</w:t>
      </w:r>
      <w:r>
        <w:rPr>
          <w:rFonts w:hint="eastAsia" w:eastAsia="方正仿宋简体"/>
          <w:color w:val="000000" w:themeColor="text1"/>
          <w:sz w:val="32"/>
          <w:szCs w:val="32"/>
          <w14:textFill>
            <w14:solidFill>
              <w14:schemeClr w14:val="tx1"/>
            </w14:solidFill>
          </w14:textFill>
        </w:rPr>
        <w:t>事前</w:t>
      </w:r>
      <w:r>
        <w:rPr>
          <w:rFonts w:eastAsia="方正仿宋简体"/>
          <w:color w:val="000000" w:themeColor="text1"/>
          <w:sz w:val="32"/>
          <w:szCs w:val="32"/>
          <w14:textFill>
            <w14:solidFill>
              <w14:schemeClr w14:val="tx1"/>
            </w14:solidFill>
          </w14:textFill>
        </w:rPr>
        <w:t>绩效评估</w:t>
      </w:r>
      <w:r>
        <w:rPr>
          <w:rFonts w:hint="eastAsia" w:hAnsi="方正仿宋简体" w:eastAsia="方正仿宋简体"/>
          <w:color w:val="000000"/>
          <w:sz w:val="32"/>
          <w:szCs w:val="32"/>
        </w:rPr>
        <w:t>，</w:t>
      </w:r>
      <w:r>
        <w:rPr>
          <w:rFonts w:hAnsi="方正仿宋简体" w:eastAsia="方正仿宋简体"/>
          <w:color w:val="000000"/>
          <w:sz w:val="32"/>
          <w:szCs w:val="32"/>
        </w:rPr>
        <w:t>对</w:t>
      </w:r>
      <w:r>
        <w:rPr>
          <w:rFonts w:hint="eastAsia" w:hAnsi="方正仿宋简体" w:eastAsia="方正仿宋简体"/>
          <w:color w:val="000000"/>
          <w:sz w:val="32"/>
          <w:szCs w:val="32"/>
        </w:rPr>
        <w:t>10</w:t>
      </w:r>
      <w:r>
        <w:rPr>
          <w:rFonts w:hAnsi="方正仿宋简体" w:eastAsia="方正仿宋简体"/>
          <w:color w:val="000000"/>
          <w:sz w:val="32"/>
          <w:szCs w:val="32"/>
        </w:rPr>
        <w:t>个项目编制了绩效目标，预算执行过程中，选取10个项目开展绩效监控，组织对</w:t>
      </w:r>
      <w:r>
        <w:rPr>
          <w:rFonts w:eastAsia="方正仿宋简体"/>
          <w:color w:val="000000"/>
          <w:sz w:val="32"/>
          <w:szCs w:val="32"/>
        </w:rPr>
        <w:t>1</w:t>
      </w:r>
      <w:r>
        <w:rPr>
          <w:rFonts w:hAnsi="方正仿宋简体" w:eastAsia="方正仿宋简体"/>
          <w:color w:val="000000"/>
          <w:sz w:val="32"/>
          <w:szCs w:val="32"/>
        </w:rPr>
        <w:t>个项目开展绩效自评，绩效自评表详见第四部分附件。</w:t>
      </w: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pStyle w:val="2"/>
        <w:spacing w:before="93"/>
        <w:rPr>
          <w:rFonts w:ascii="Times New Roman"/>
        </w:rPr>
      </w:pPr>
    </w:p>
    <w:p>
      <w:pPr>
        <w:numPr>
          <w:ilvl w:val="0"/>
          <w:numId w:val="5"/>
        </w:numPr>
        <w:spacing w:line="600" w:lineRule="exact"/>
        <w:ind w:firstLine="660" w:firstLineChars="150"/>
        <w:jc w:val="center"/>
        <w:outlineLvl w:val="0"/>
        <w:rPr>
          <w:rStyle w:val="27"/>
          <w:rFonts w:ascii="方正黑体简体" w:hAnsi="方正黑体简体" w:eastAsia="方正黑体简体"/>
          <w:b w:val="0"/>
          <w:bCs w:val="0"/>
        </w:rPr>
      </w:pPr>
      <w:bookmarkStart w:id="93" w:name="_Toc80458070"/>
      <w:bookmarkStart w:id="94" w:name="_Toc15377225"/>
      <w:bookmarkStart w:id="95" w:name="_Toc15396613"/>
      <w:r>
        <w:rPr>
          <w:rFonts w:ascii="方正黑体简体" w:hAnsi="方正黑体简体" w:eastAsia="方正黑体简体"/>
          <w:color w:val="000000"/>
          <w:sz w:val="44"/>
          <w:szCs w:val="44"/>
        </w:rPr>
        <w:t>名</w:t>
      </w:r>
      <w:r>
        <w:rPr>
          <w:rStyle w:val="27"/>
          <w:rFonts w:ascii="方正黑体简体" w:hAnsi="方正黑体简体" w:eastAsia="方正黑体简体"/>
          <w:b w:val="0"/>
          <w:bCs w:val="0"/>
        </w:rPr>
        <w:t>词解释</w:t>
      </w:r>
      <w:bookmarkEnd w:id="93"/>
      <w:bookmarkEnd w:id="94"/>
      <w:bookmarkEnd w:id="95"/>
    </w:p>
    <w:p>
      <w:pPr>
        <w:spacing w:line="600" w:lineRule="exact"/>
        <w:ind w:left="660"/>
        <w:outlineLvl w:val="0"/>
        <w:rPr>
          <w:bCs/>
          <w:kern w:val="44"/>
          <w:szCs w:val="21"/>
        </w:rPr>
      </w:pPr>
    </w:p>
    <w:p>
      <w:pPr>
        <w:pStyle w:val="25"/>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ascii="Times New Roman" w:hAnsi="方正仿宋简体" w:eastAsia="方正仿宋简体" w:cs="Times New Roman"/>
          <w:sz w:val="32"/>
          <w:szCs w:val="32"/>
        </w:rPr>
        <w:t>财政拨款收入：指单位从同级财政部门取得的财政预算资金。</w:t>
      </w:r>
    </w:p>
    <w:p>
      <w:pPr>
        <w:pStyle w:val="25"/>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ascii="Times New Roman" w:hAnsi="方正仿宋简体" w:eastAsia="方正仿宋简体" w:cs="Times New Roman"/>
          <w:sz w:val="32"/>
          <w:szCs w:val="32"/>
        </w:rPr>
        <w:t>事业收入：指事业单位开展专业业务活动及辅助活动取得的收入。</w:t>
      </w:r>
    </w:p>
    <w:p>
      <w:pPr>
        <w:pStyle w:val="25"/>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ascii="Times New Roman" w:hAnsi="方正仿宋简体" w:eastAsia="方正仿宋简体" w:cs="Times New Roman"/>
          <w:sz w:val="32"/>
          <w:szCs w:val="32"/>
        </w:rPr>
        <w:t>使用非财政拨款结余：指事业单位使用以前年度积累的非财政拨款结余弥补当年收支差额的金额。</w:t>
      </w:r>
    </w:p>
    <w:p>
      <w:pPr>
        <w:pStyle w:val="25"/>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ascii="Times New Roman" w:hAnsi="方正仿宋简体" w:eastAsia="方正仿宋简体" w:cs="Times New Roman"/>
          <w:sz w:val="32"/>
          <w:szCs w:val="32"/>
        </w:rPr>
        <w:t>年初结转和结余：指以前年度尚未完成、结转到本年按有关规定继续使用的资金。</w:t>
      </w:r>
    </w:p>
    <w:p>
      <w:pPr>
        <w:spacing w:line="600" w:lineRule="exact"/>
        <w:ind w:firstLine="640" w:firstLineChars="200"/>
        <w:rPr>
          <w:rFonts w:eastAsia="方正仿宋简体"/>
          <w:color w:val="000000" w:themeColor="text1"/>
          <w:sz w:val="32"/>
          <w:szCs w:val="32"/>
          <w14:textFill>
            <w14:solidFill>
              <w14:schemeClr w14:val="tx1"/>
            </w14:solidFill>
          </w14:textFill>
        </w:rPr>
      </w:pPr>
      <w:r>
        <w:rPr>
          <w:rFonts w:eastAsia="方正仿宋简体"/>
          <w:color w:val="000000"/>
          <w:sz w:val="32"/>
          <w:szCs w:val="32"/>
        </w:rPr>
        <w:t xml:space="preserve">5. </w:t>
      </w:r>
      <w:r>
        <w:rPr>
          <w:rFonts w:hAnsi="方正仿宋简体" w:eastAsia="方正仿宋简体"/>
          <w:color w:val="000000"/>
          <w:sz w:val="32"/>
          <w:szCs w:val="32"/>
        </w:rPr>
        <w:t>社会保障和就业（类）行政事业单位养老支出（款）事业单位离退休（项）</w:t>
      </w:r>
      <w:r>
        <w:rPr>
          <w:rFonts w:hint="eastAsia" w:eastAsia="方正仿宋简体"/>
          <w:color w:val="000000"/>
          <w:sz w:val="32"/>
          <w:szCs w:val="32"/>
        </w:rPr>
        <w:t>：</w:t>
      </w:r>
      <w:r>
        <w:rPr>
          <w:rFonts w:hAnsi="方正仿宋简体" w:eastAsia="方正仿宋简体"/>
          <w:color w:val="000000" w:themeColor="text1"/>
          <w:sz w:val="32"/>
          <w:szCs w:val="32"/>
          <w14:textFill>
            <w14:solidFill>
              <w14:schemeClr w14:val="tx1"/>
            </w14:solidFill>
          </w14:textFill>
        </w:rPr>
        <w:t>指事业单位开支的离退休经费。</w:t>
      </w:r>
    </w:p>
    <w:p>
      <w:pPr>
        <w:spacing w:line="600" w:lineRule="exact"/>
        <w:ind w:firstLine="640" w:firstLineChars="200"/>
        <w:rPr>
          <w:rFonts w:eastAsia="方正仿宋简体"/>
          <w:color w:val="000000"/>
          <w:sz w:val="32"/>
          <w:szCs w:val="32"/>
        </w:rPr>
      </w:pPr>
      <w:r>
        <w:rPr>
          <w:rFonts w:eastAsia="方正仿宋简体"/>
          <w:color w:val="000000"/>
          <w:sz w:val="32"/>
          <w:szCs w:val="32"/>
        </w:rPr>
        <w:t>6.</w:t>
      </w:r>
      <w:r>
        <w:rPr>
          <w:rFonts w:hAnsi="方正仿宋简体" w:eastAsia="方正仿宋简体"/>
          <w:color w:val="000000"/>
          <w:sz w:val="32"/>
          <w:szCs w:val="32"/>
        </w:rPr>
        <w:t>社会保障和就业（类）行政事业单位养老支出（款）机关事业单位基本养老保险缴费支出（项）</w:t>
      </w:r>
      <w:r>
        <w:rPr>
          <w:rFonts w:hint="eastAsia" w:eastAsia="方正仿宋简体"/>
          <w:color w:val="000000"/>
          <w:sz w:val="32"/>
          <w:szCs w:val="32"/>
        </w:rPr>
        <w:t>：</w:t>
      </w:r>
      <w:r>
        <w:rPr>
          <w:rFonts w:hAnsi="方正仿宋简体" w:eastAsia="方正仿宋简体"/>
          <w:color w:val="000000"/>
          <w:sz w:val="32"/>
          <w:szCs w:val="32"/>
        </w:rPr>
        <w:t>指机关事业单位实施养老制度由单位缴纳的基本养老保险费支出。</w:t>
      </w:r>
    </w:p>
    <w:p>
      <w:pPr>
        <w:spacing w:line="600" w:lineRule="exact"/>
        <w:ind w:firstLine="640" w:firstLineChars="200"/>
        <w:rPr>
          <w:rFonts w:eastAsia="方正仿宋简体"/>
          <w:color w:val="000000"/>
          <w:sz w:val="32"/>
          <w:szCs w:val="32"/>
        </w:rPr>
      </w:pPr>
      <w:r>
        <w:rPr>
          <w:rFonts w:eastAsia="方正仿宋简体"/>
          <w:color w:val="000000"/>
          <w:sz w:val="32"/>
          <w:szCs w:val="32"/>
        </w:rPr>
        <w:t>7.</w:t>
      </w:r>
      <w:r>
        <w:rPr>
          <w:rFonts w:hAnsi="方正仿宋简体" w:eastAsia="方正仿宋简体"/>
          <w:color w:val="000000"/>
          <w:sz w:val="32"/>
          <w:szCs w:val="32"/>
        </w:rPr>
        <w:t>社会保障和就业（类）行政事业单位养老支出（款）机关事业单位职业年金缴费支出（项）</w:t>
      </w:r>
      <w:r>
        <w:rPr>
          <w:rFonts w:hint="eastAsia" w:eastAsia="方正仿宋简体"/>
          <w:color w:val="000000"/>
          <w:sz w:val="32"/>
          <w:szCs w:val="32"/>
        </w:rPr>
        <w:t>：</w:t>
      </w:r>
      <w:r>
        <w:rPr>
          <w:rFonts w:hAnsi="方正仿宋简体" w:eastAsia="方正仿宋简体"/>
          <w:color w:val="000000"/>
          <w:sz w:val="32"/>
          <w:szCs w:val="32"/>
        </w:rPr>
        <w:t>指机关事业单位实施养老保险制度由单位实际缴纳的职业年金支出。</w:t>
      </w:r>
    </w:p>
    <w:p>
      <w:pPr>
        <w:spacing w:line="600" w:lineRule="exact"/>
        <w:ind w:firstLine="640" w:firstLineChars="200"/>
        <w:rPr>
          <w:rFonts w:eastAsia="方正仿宋简体"/>
          <w:color w:val="000000"/>
          <w:sz w:val="32"/>
          <w:szCs w:val="32"/>
        </w:rPr>
      </w:pPr>
      <w:r>
        <w:rPr>
          <w:rFonts w:eastAsia="方正仿宋简体"/>
          <w:color w:val="000000"/>
          <w:sz w:val="32"/>
          <w:szCs w:val="32"/>
        </w:rPr>
        <w:t>8.</w:t>
      </w:r>
      <w:r>
        <w:rPr>
          <w:rFonts w:hAnsi="方正仿宋简体" w:eastAsia="方正仿宋简体"/>
          <w:color w:val="000000"/>
          <w:sz w:val="32"/>
          <w:szCs w:val="32"/>
        </w:rPr>
        <w:t>社会保障和就业（类）就业补助（款）其他就业补助支出（项）</w:t>
      </w:r>
      <w:r>
        <w:rPr>
          <w:rFonts w:hint="eastAsia" w:eastAsia="方正仿宋简体"/>
          <w:color w:val="000000"/>
          <w:sz w:val="32"/>
          <w:szCs w:val="32"/>
        </w:rPr>
        <w:t>：</w:t>
      </w:r>
      <w:r>
        <w:rPr>
          <w:rFonts w:hAnsi="方正仿宋简体" w:eastAsia="方正仿宋简体"/>
          <w:color w:val="000000"/>
          <w:sz w:val="32"/>
          <w:szCs w:val="32"/>
        </w:rPr>
        <w:t>指用于退役军人的就业培训费用。</w:t>
      </w:r>
    </w:p>
    <w:p>
      <w:pPr>
        <w:spacing w:line="600" w:lineRule="exact"/>
        <w:ind w:firstLine="640" w:firstLineChars="200"/>
        <w:rPr>
          <w:rFonts w:eastAsia="方正仿宋简体"/>
          <w:color w:val="000000"/>
          <w:sz w:val="32"/>
          <w:szCs w:val="32"/>
        </w:rPr>
      </w:pPr>
      <w:r>
        <w:rPr>
          <w:rFonts w:eastAsia="方正仿宋简体"/>
          <w:color w:val="000000"/>
          <w:sz w:val="32"/>
          <w:szCs w:val="32"/>
        </w:rPr>
        <w:t>9.</w:t>
      </w:r>
      <w:r>
        <w:rPr>
          <w:rFonts w:hAnsi="方正仿宋简体" w:eastAsia="方正仿宋简体"/>
          <w:color w:val="000000"/>
          <w:sz w:val="32"/>
          <w:szCs w:val="32"/>
        </w:rPr>
        <w:t>社会保障和就业（类）退役军人管理事务（款）事业运行（项）</w:t>
      </w:r>
      <w:r>
        <w:rPr>
          <w:rFonts w:hint="eastAsia" w:eastAsia="方正仿宋简体"/>
          <w:color w:val="000000"/>
          <w:sz w:val="32"/>
          <w:szCs w:val="32"/>
        </w:rPr>
        <w:t>：</w:t>
      </w:r>
      <w:r>
        <w:rPr>
          <w:rFonts w:hAnsi="方正仿宋简体" w:eastAsia="方正仿宋简体"/>
          <w:color w:val="000000"/>
          <w:sz w:val="32"/>
          <w:szCs w:val="32"/>
        </w:rPr>
        <w:t>指事业单位的基本支出。</w:t>
      </w:r>
    </w:p>
    <w:p>
      <w:pPr>
        <w:spacing w:line="600" w:lineRule="exact"/>
        <w:ind w:firstLine="640" w:firstLineChars="200"/>
        <w:rPr>
          <w:rFonts w:eastAsia="方正仿宋简体"/>
          <w:color w:val="000000"/>
          <w:sz w:val="32"/>
          <w:szCs w:val="32"/>
        </w:rPr>
      </w:pPr>
      <w:r>
        <w:rPr>
          <w:rFonts w:eastAsia="方正仿宋简体"/>
          <w:color w:val="000000"/>
          <w:sz w:val="32"/>
          <w:szCs w:val="32"/>
        </w:rPr>
        <w:t>10.</w:t>
      </w:r>
      <w:r>
        <w:rPr>
          <w:rFonts w:hAnsi="方正仿宋简体" w:eastAsia="方正仿宋简体"/>
          <w:color w:val="000000"/>
          <w:sz w:val="32"/>
          <w:szCs w:val="32"/>
        </w:rPr>
        <w:t>卫生健康（类）行政事业单位医疗（款）事业单位医疗（项）</w:t>
      </w:r>
      <w:r>
        <w:rPr>
          <w:rFonts w:hint="eastAsia" w:eastAsia="方正仿宋简体"/>
          <w:color w:val="000000"/>
          <w:sz w:val="32"/>
          <w:szCs w:val="32"/>
        </w:rPr>
        <w:t>：</w:t>
      </w:r>
      <w:r>
        <w:rPr>
          <w:rFonts w:hAnsi="方正仿宋简体" w:eastAsia="方正仿宋简体"/>
          <w:color w:val="000000"/>
          <w:sz w:val="32"/>
          <w:szCs w:val="32"/>
        </w:rPr>
        <w:t>指财政部门安排的事业单位基本医疗保险缴费经费。</w:t>
      </w:r>
    </w:p>
    <w:p>
      <w:pPr>
        <w:spacing w:line="600" w:lineRule="exact"/>
        <w:ind w:firstLine="640" w:firstLineChars="200"/>
        <w:rPr>
          <w:rFonts w:eastAsia="方正仿宋简体"/>
          <w:color w:val="000000"/>
          <w:sz w:val="32"/>
          <w:szCs w:val="32"/>
        </w:rPr>
      </w:pPr>
      <w:r>
        <w:rPr>
          <w:rFonts w:eastAsia="方正仿宋简体"/>
          <w:color w:val="000000"/>
          <w:sz w:val="32"/>
          <w:szCs w:val="32"/>
        </w:rPr>
        <w:t>11.</w:t>
      </w:r>
      <w:r>
        <w:rPr>
          <w:rFonts w:hAnsi="方正仿宋简体" w:eastAsia="方正仿宋简体"/>
          <w:color w:val="000000"/>
          <w:sz w:val="32"/>
          <w:szCs w:val="32"/>
        </w:rPr>
        <w:t>住房保障支出（类）住房改革支出（款）住房公积金（项）</w:t>
      </w:r>
      <w:r>
        <w:rPr>
          <w:rFonts w:hint="eastAsia" w:eastAsia="方正仿宋简体"/>
          <w:color w:val="000000"/>
          <w:sz w:val="32"/>
          <w:szCs w:val="32"/>
        </w:rPr>
        <w:t>：</w:t>
      </w:r>
      <w:r>
        <w:rPr>
          <w:rFonts w:hAnsi="方正仿宋简体" w:eastAsia="方正仿宋简体"/>
          <w:color w:val="000000"/>
          <w:sz w:val="32"/>
          <w:szCs w:val="32"/>
        </w:rPr>
        <w:t>指行政事业单位按人力资源和社会保障部、财政部规定的基本工资和津贴补贴以及规定比例为职工缴纳的住房公积金。</w:t>
      </w:r>
      <w:r>
        <w:rPr>
          <w:rFonts w:eastAsia="方正仿宋简体"/>
          <w:color w:val="000000"/>
          <w:sz w:val="32"/>
          <w:szCs w:val="32"/>
        </w:rPr>
        <w:t>    </w:t>
      </w:r>
    </w:p>
    <w:p>
      <w:pPr>
        <w:spacing w:line="600" w:lineRule="exact"/>
        <w:ind w:firstLine="640" w:firstLineChars="200"/>
        <w:rPr>
          <w:rFonts w:eastAsia="方正仿宋简体"/>
          <w:color w:val="000000"/>
          <w:sz w:val="32"/>
          <w:szCs w:val="32"/>
        </w:rPr>
      </w:pPr>
      <w:r>
        <w:rPr>
          <w:rFonts w:eastAsia="方正仿宋简体"/>
          <w:color w:val="000000"/>
          <w:sz w:val="32"/>
          <w:szCs w:val="32"/>
        </w:rPr>
        <w:t>12.</w:t>
      </w:r>
      <w:r>
        <w:rPr>
          <w:rFonts w:hAnsi="方正仿宋简体" w:eastAsia="方正仿宋简体"/>
          <w:color w:val="000000"/>
          <w:sz w:val="32"/>
          <w:szCs w:val="32"/>
        </w:rPr>
        <w:t>住房保障支出（类）住房改革支出（款）购房补贴（项）</w:t>
      </w:r>
      <w:r>
        <w:rPr>
          <w:rFonts w:hint="eastAsia" w:eastAsia="方正仿宋简体"/>
          <w:color w:val="000000"/>
          <w:sz w:val="32"/>
          <w:szCs w:val="32"/>
        </w:rPr>
        <w:t>：</w:t>
      </w:r>
      <w:r>
        <w:rPr>
          <w:rFonts w:hAnsi="方正仿宋简体" w:eastAsia="方正仿宋简体"/>
          <w:color w:val="000000"/>
          <w:sz w:val="32"/>
          <w:szCs w:val="32"/>
        </w:rPr>
        <w:t>指按房改政策规定，行政事业单位向符合条件职工发放的用于购买住房的补贴。</w:t>
      </w:r>
    </w:p>
    <w:p>
      <w:pPr>
        <w:spacing w:line="600" w:lineRule="exact"/>
        <w:ind w:firstLine="640" w:firstLineChars="200"/>
        <w:rPr>
          <w:rFonts w:eastAsia="方正仿宋简体"/>
          <w:color w:val="000000"/>
          <w:sz w:val="32"/>
          <w:szCs w:val="32"/>
        </w:rPr>
      </w:pPr>
      <w:r>
        <w:rPr>
          <w:rFonts w:eastAsia="方正仿宋简体"/>
          <w:color w:val="000000"/>
          <w:sz w:val="32"/>
          <w:szCs w:val="32"/>
        </w:rPr>
        <w:t>13.</w:t>
      </w:r>
      <w:r>
        <w:rPr>
          <w:rFonts w:hAnsi="方正仿宋简体" w:eastAsia="方正仿宋简体"/>
          <w:color w:val="000000"/>
          <w:sz w:val="32"/>
          <w:szCs w:val="32"/>
        </w:rPr>
        <w:t>基本支出：指为保障机构正常运转、完成日常工作任务而发生的人员支出和公用支出。</w:t>
      </w:r>
    </w:p>
    <w:p>
      <w:pPr>
        <w:spacing w:line="600" w:lineRule="exact"/>
        <w:ind w:firstLine="640" w:firstLineChars="200"/>
        <w:rPr>
          <w:rFonts w:eastAsia="方正仿宋简体"/>
          <w:color w:val="000000"/>
          <w:sz w:val="32"/>
          <w:szCs w:val="32"/>
        </w:rPr>
      </w:pPr>
      <w:r>
        <w:rPr>
          <w:rFonts w:eastAsia="方正仿宋简体"/>
          <w:color w:val="000000"/>
          <w:sz w:val="32"/>
          <w:szCs w:val="32"/>
        </w:rPr>
        <w:t>14.</w:t>
      </w:r>
      <w:r>
        <w:rPr>
          <w:rFonts w:hAnsi="方正仿宋简体" w:eastAsia="方正仿宋简体"/>
          <w:color w:val="000000"/>
          <w:sz w:val="32"/>
          <w:szCs w:val="32"/>
        </w:rPr>
        <w:t>项目支出：指在基本支出之外为完成特定行政任务和事业发展目标所发生的支出。</w:t>
      </w:r>
    </w:p>
    <w:p>
      <w:pPr>
        <w:pStyle w:val="25"/>
        <w:spacing w:line="60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15.“</w:t>
      </w:r>
      <w:r>
        <w:rPr>
          <w:rFonts w:ascii="Times New Roman" w:hAnsi="方正仿宋简体" w:eastAsia="方正仿宋简体" w:cs="Times New Roman"/>
          <w:sz w:val="32"/>
          <w:szCs w:val="32"/>
        </w:rPr>
        <w:t>三公</w:t>
      </w:r>
      <w:r>
        <w:rPr>
          <w:rFonts w:ascii="Times New Roman" w:hAnsi="Times New Roman" w:eastAsia="方正仿宋简体" w:cs="Times New Roman"/>
          <w:sz w:val="32"/>
          <w:szCs w:val="32"/>
        </w:rPr>
        <w:t>”</w:t>
      </w:r>
      <w:r>
        <w:rPr>
          <w:rFonts w:ascii="Times New Roman" w:hAnsi="方正仿宋简体" w:eastAsia="方正仿宋简体" w:cs="Times New Roman"/>
          <w:sz w:val="32"/>
          <w:szCs w:val="32"/>
        </w:rPr>
        <w:t>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w:t>
      </w:r>
      <w:r>
        <w:rPr>
          <w:rFonts w:hint="eastAsia" w:ascii="Times New Roman" w:hAnsi="方正仿宋简体" w:eastAsia="方正仿宋简体" w:cs="Times New Roman"/>
          <w:sz w:val="32"/>
          <w:szCs w:val="32"/>
          <w:lang w:eastAsia="zh-CN"/>
        </w:rPr>
        <w:t>及</w:t>
      </w:r>
      <w:r>
        <w:rPr>
          <w:rFonts w:ascii="Times New Roman" w:hAnsi="方正仿宋简体" w:eastAsia="方正仿宋简体" w:cs="Times New Roman"/>
          <w:sz w:val="32"/>
          <w:szCs w:val="32"/>
        </w:rPr>
        <w:t>燃料费、维修费、过路过桥费、保险费等支出；公务接待费反映单位按规定开支的各类公务接待（含外宾接待）支出。</w:t>
      </w:r>
    </w:p>
    <w:p>
      <w:pPr>
        <w:tabs>
          <w:tab w:val="center" w:pos="4365"/>
          <w:tab w:val="left" w:pos="6435"/>
        </w:tabs>
        <w:spacing w:line="600" w:lineRule="exact"/>
        <w:jc w:val="left"/>
        <w:outlineLvl w:val="0"/>
        <w:rPr>
          <w:rFonts w:ascii="方正黑体简体" w:hAnsi="方正黑体简体" w:eastAsia="方正黑体简体"/>
          <w:bCs/>
          <w:color w:val="0000FF"/>
          <w:kern w:val="44"/>
          <w:sz w:val="44"/>
          <w:szCs w:val="44"/>
        </w:rPr>
      </w:pPr>
      <w:bookmarkStart w:id="96" w:name="_Toc15377226"/>
      <w:r>
        <w:rPr>
          <w:rStyle w:val="27"/>
          <w:rFonts w:eastAsia="仿宋"/>
          <w:b w:val="0"/>
        </w:rPr>
        <w:br w:type="page"/>
      </w:r>
      <w:bookmarkStart w:id="97" w:name="_Toc80458071"/>
      <w:bookmarkStart w:id="98" w:name="_Toc15396614"/>
      <w:r>
        <w:rPr>
          <w:rStyle w:val="27"/>
          <w:rFonts w:eastAsia="方正仿宋简体"/>
          <w:b w:val="0"/>
        </w:rPr>
        <w:tab/>
      </w:r>
      <w:r>
        <w:rPr>
          <w:rFonts w:ascii="方正黑体简体" w:hAnsi="方正黑体简体" w:eastAsia="方正黑体简体"/>
          <w:color w:val="000000"/>
          <w:sz w:val="44"/>
          <w:szCs w:val="44"/>
        </w:rPr>
        <w:t>第</w:t>
      </w:r>
      <w:r>
        <w:rPr>
          <w:rStyle w:val="27"/>
          <w:rFonts w:ascii="方正黑体简体" w:hAnsi="方正黑体简体" w:eastAsia="方正黑体简体"/>
          <w:b w:val="0"/>
        </w:rPr>
        <w:t>四部分</w:t>
      </w:r>
      <w:r>
        <w:rPr>
          <w:rStyle w:val="27"/>
          <w:rFonts w:hint="eastAsia" w:ascii="方正黑体简体" w:hAnsi="方正黑体简体" w:eastAsia="方正黑体简体"/>
          <w:b w:val="0"/>
        </w:rPr>
        <w:t xml:space="preserve"> </w:t>
      </w:r>
      <w:r>
        <w:rPr>
          <w:rStyle w:val="27"/>
          <w:rFonts w:ascii="方正黑体简体" w:hAnsi="方正黑体简体" w:eastAsia="方正黑体简体"/>
          <w:b w:val="0"/>
        </w:rPr>
        <w:t>附件</w:t>
      </w:r>
      <w:bookmarkEnd w:id="97"/>
      <w:bookmarkEnd w:id="98"/>
      <w:r>
        <w:rPr>
          <w:rStyle w:val="27"/>
          <w:rFonts w:ascii="方正黑体简体" w:hAnsi="方正黑体简体" w:eastAsia="方正黑体简体"/>
          <w:b w:val="0"/>
        </w:rPr>
        <w:tab/>
      </w:r>
    </w:p>
    <w:tbl>
      <w:tblPr>
        <w:tblStyle w:val="14"/>
        <w:tblW w:w="5000" w:type="pct"/>
        <w:tblInd w:w="0" w:type="dxa"/>
        <w:tblLayout w:type="autofit"/>
        <w:tblCellMar>
          <w:top w:w="0" w:type="dxa"/>
          <w:left w:w="108" w:type="dxa"/>
          <w:bottom w:w="0" w:type="dxa"/>
          <w:right w:w="108" w:type="dxa"/>
        </w:tblCellMar>
      </w:tblPr>
      <w:tblGrid>
        <w:gridCol w:w="767"/>
        <w:gridCol w:w="767"/>
        <w:gridCol w:w="768"/>
        <w:gridCol w:w="768"/>
        <w:gridCol w:w="768"/>
        <w:gridCol w:w="768"/>
        <w:gridCol w:w="768"/>
        <w:gridCol w:w="1007"/>
        <w:gridCol w:w="794"/>
        <w:gridCol w:w="1007"/>
        <w:gridCol w:w="764"/>
      </w:tblGrid>
      <w:tr>
        <w:tblPrEx>
          <w:tblCellMar>
            <w:top w:w="0" w:type="dxa"/>
            <w:left w:w="108" w:type="dxa"/>
            <w:bottom w:w="0" w:type="dxa"/>
            <w:right w:w="108" w:type="dxa"/>
          </w:tblCellMar>
        </w:tblPrEx>
        <w:trPr>
          <w:trHeight w:val="39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30"/>
                <w:szCs w:val="30"/>
              </w:rPr>
            </w:pPr>
            <w:r>
              <w:rPr>
                <w:rFonts w:hint="eastAsia" w:ascii="黑体" w:hAnsi="黑体" w:eastAsia="黑体" w:cs="宋体"/>
                <w:b/>
                <w:bCs/>
                <w:color w:val="000000"/>
                <w:kern w:val="0"/>
                <w:sz w:val="30"/>
                <w:szCs w:val="30"/>
              </w:rPr>
              <w:t>部门预算项目支出绩效自评表（2022年度）</w:t>
            </w:r>
          </w:p>
        </w:tc>
      </w:tr>
      <w:tr>
        <w:tblPrEx>
          <w:tblCellMar>
            <w:top w:w="0" w:type="dxa"/>
            <w:left w:w="108" w:type="dxa"/>
            <w:bottom w:w="0" w:type="dxa"/>
            <w:right w:w="108" w:type="dxa"/>
          </w:tblCellMar>
        </w:tblPrEx>
        <w:trPr>
          <w:trHeight w:val="270" w:hRule="atLeast"/>
        </w:trPr>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4143" w:type="pct"/>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51000022T000000425235-军地人才培训</w:t>
            </w:r>
          </w:p>
        </w:tc>
      </w:tr>
      <w:tr>
        <w:tblPrEx>
          <w:tblCellMar>
            <w:top w:w="0" w:type="dxa"/>
            <w:left w:w="108" w:type="dxa"/>
            <w:bottom w:w="0" w:type="dxa"/>
            <w:right w:w="108" w:type="dxa"/>
          </w:tblCellMar>
        </w:tblPrEx>
        <w:trPr>
          <w:trHeight w:val="450" w:hRule="atLeast"/>
        </w:trPr>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主管部门</w:t>
            </w:r>
          </w:p>
        </w:tc>
        <w:tc>
          <w:tcPr>
            <w:tcW w:w="2143"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四川省退役军人事务厅部门</w:t>
            </w:r>
          </w:p>
        </w:tc>
        <w:tc>
          <w:tcPr>
            <w:tcW w:w="563" w:type="pct"/>
            <w:tcBorders>
              <w:top w:val="nil"/>
              <w:left w:val="nil"/>
              <w:bottom w:val="nil"/>
              <w:right w:val="nil"/>
            </w:tcBorders>
            <w:shd w:val="clear" w:color="auto" w:fill="auto"/>
            <w:vAlign w:val="center"/>
          </w:tcPr>
          <w:p>
            <w:pPr>
              <w:widowControl/>
              <w:jc w:val="left"/>
              <w:rPr>
                <w:rFonts w:ascii="Courier New" w:hAnsi="Courier New" w:cs="Courier New"/>
                <w:color w:val="000000"/>
                <w:kern w:val="0"/>
                <w:sz w:val="18"/>
                <w:szCs w:val="18"/>
              </w:rPr>
            </w:pPr>
            <w:r>
              <w:rPr>
                <w:rFonts w:ascii="Courier New" w:hAnsi="Courier New" w:cs="Courier New"/>
                <w:color w:val="000000"/>
                <w:kern w:val="0"/>
                <w:sz w:val="18"/>
                <w:szCs w:val="18"/>
              </w:rPr>
              <w:t>实施单位 （盖章）</w:t>
            </w:r>
          </w:p>
        </w:tc>
        <w:tc>
          <w:tcPr>
            <w:tcW w:w="143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四川省退役军人培训中心（四川省军地人才培训中心）</w:t>
            </w:r>
          </w:p>
        </w:tc>
      </w:tr>
      <w:tr>
        <w:tblPrEx>
          <w:tblCellMar>
            <w:top w:w="0" w:type="dxa"/>
            <w:left w:w="108" w:type="dxa"/>
            <w:bottom w:w="0" w:type="dxa"/>
            <w:right w:w="108" w:type="dxa"/>
          </w:tblCellMar>
        </w:tblPrEx>
        <w:trPr>
          <w:trHeight w:val="270" w:hRule="atLeast"/>
        </w:trPr>
        <w:tc>
          <w:tcPr>
            <w:tcW w:w="42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项目基本情况</w:t>
            </w:r>
          </w:p>
        </w:tc>
        <w:tc>
          <w:tcPr>
            <w:tcW w:w="42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1.项目年度目标完成情况</w:t>
            </w:r>
          </w:p>
        </w:tc>
        <w:tc>
          <w:tcPr>
            <w:tcW w:w="2143"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项目年度目标</w:t>
            </w:r>
          </w:p>
        </w:tc>
        <w:tc>
          <w:tcPr>
            <w:tcW w:w="2000"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年度目标完成情况</w:t>
            </w:r>
          </w:p>
        </w:tc>
      </w:tr>
      <w:tr>
        <w:tblPrEx>
          <w:tblCellMar>
            <w:top w:w="0" w:type="dxa"/>
            <w:left w:w="108" w:type="dxa"/>
            <w:bottom w:w="0" w:type="dxa"/>
            <w:right w:w="108" w:type="dxa"/>
          </w:tblCellMar>
        </w:tblPrEx>
        <w:trPr>
          <w:trHeight w:val="2100" w:hRule="atLeast"/>
        </w:trPr>
        <w:tc>
          <w:tcPr>
            <w:tcW w:w="42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2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2143" w:type="pct"/>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一、通过培训提高事业单位工作人员业务能力。</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二、通过培训帮助退役士兵进一步提升综合素质，改善知识结构，为实现高质量就业创业奠定基础。</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三、通过网络培训教学的方式提高退役军人综合素质。</w:t>
            </w:r>
          </w:p>
        </w:tc>
        <w:tc>
          <w:tcPr>
            <w:tcW w:w="2000" w:type="pct"/>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认真贯彻落实党的二十大精神、省委十二届二次全会精神、退役军人事务部等七部门《关于全面做好退役士兵教育培训工作的指导意见》（退役军人部发〔2021〕53号）、四川省退役军人事务厅等七部门《关于全面做好退役士兵教育培训工作的实施意见》（川退役军人发〔2022〕74号），加强自主就业退役士兵教育培训工作，做好自主就业退役士兵返乡第一课，促进自主就业退役士兵提升综合素质,帮助自主就业退役士兵更好地了解省情市（州）情，改善知识结构，完成角色转换，受到广泛好评。</w:t>
            </w:r>
          </w:p>
        </w:tc>
      </w:tr>
      <w:tr>
        <w:tblPrEx>
          <w:tblCellMar>
            <w:top w:w="0" w:type="dxa"/>
            <w:left w:w="108" w:type="dxa"/>
            <w:bottom w:w="0" w:type="dxa"/>
            <w:right w:w="108" w:type="dxa"/>
          </w:tblCellMar>
        </w:tblPrEx>
        <w:trPr>
          <w:trHeight w:val="1380" w:hRule="atLeast"/>
        </w:trPr>
        <w:tc>
          <w:tcPr>
            <w:tcW w:w="42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2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2.项目实施内容及过程概述</w:t>
            </w:r>
          </w:p>
        </w:tc>
        <w:tc>
          <w:tcPr>
            <w:tcW w:w="4143" w:type="pct"/>
            <w:gridSpan w:val="9"/>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年初下发文件对接21个市州负责就业培训部门，通知退役士兵参加培训，学员通过在四川省退役军人培训网和四川退役军人培训公众号参加培训，网络培训内容主要包括党史教育、国情省情、法律法规、职业规划、安全保密、心理健康、思想文化、通用职业能力等内容。学满60学时后自行打印培训合格证书。</w:t>
            </w:r>
          </w:p>
        </w:tc>
      </w:tr>
      <w:tr>
        <w:tblPrEx>
          <w:tblCellMar>
            <w:top w:w="0" w:type="dxa"/>
            <w:left w:w="108" w:type="dxa"/>
            <w:bottom w:w="0" w:type="dxa"/>
            <w:right w:w="108" w:type="dxa"/>
          </w:tblCellMar>
        </w:tblPrEx>
        <w:trPr>
          <w:trHeight w:val="450" w:hRule="atLeast"/>
        </w:trPr>
        <w:tc>
          <w:tcPr>
            <w:tcW w:w="42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预算执行情况（10分）</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年度预算数（万元）</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年初预算</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调整后预算数</w:t>
            </w:r>
          </w:p>
        </w:tc>
        <w:tc>
          <w:tcPr>
            <w:tcW w:w="1286"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预算执行数</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预算执行率</w:t>
            </w:r>
          </w:p>
        </w:tc>
        <w:tc>
          <w:tcPr>
            <w:tcW w:w="44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原因</w:t>
            </w:r>
          </w:p>
        </w:tc>
      </w:tr>
      <w:tr>
        <w:tblPrEx>
          <w:tblCellMar>
            <w:top w:w="0" w:type="dxa"/>
            <w:left w:w="108" w:type="dxa"/>
            <w:bottom w:w="0" w:type="dxa"/>
            <w:right w:w="108" w:type="dxa"/>
          </w:tblCellMar>
        </w:tblPrEx>
        <w:trPr>
          <w:trHeight w:val="270" w:hRule="atLeast"/>
        </w:trPr>
        <w:tc>
          <w:tcPr>
            <w:tcW w:w="42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总额</w:t>
            </w:r>
          </w:p>
        </w:tc>
        <w:tc>
          <w:tcPr>
            <w:tcW w:w="7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206.29</w:t>
            </w:r>
          </w:p>
        </w:tc>
        <w:tc>
          <w:tcPr>
            <w:tcW w:w="76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206.29</w:t>
            </w:r>
          </w:p>
        </w:tc>
        <w:tc>
          <w:tcPr>
            <w:tcW w:w="2304"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189.30</w:t>
            </w:r>
          </w:p>
        </w:tc>
        <w:tc>
          <w:tcPr>
            <w:tcW w:w="100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91.77%</w:t>
            </w:r>
          </w:p>
        </w:tc>
        <w:tc>
          <w:tcPr>
            <w:tcW w:w="44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2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Courier New" w:hAnsi="Courier New" w:cs="Courier New"/>
                <w:i/>
                <w:iCs/>
                <w:color w:val="000000"/>
                <w:kern w:val="0"/>
                <w:sz w:val="18"/>
                <w:szCs w:val="18"/>
              </w:rPr>
            </w:pPr>
            <w:r>
              <w:rPr>
                <w:rFonts w:ascii="Courier New" w:hAnsi="Courier New" w:cs="Courier New"/>
                <w:i/>
                <w:iCs/>
                <w:color w:val="000000"/>
                <w:kern w:val="0"/>
                <w:sz w:val="18"/>
                <w:szCs w:val="18"/>
              </w:rPr>
              <w:t>　</w:t>
            </w:r>
          </w:p>
        </w:tc>
      </w:tr>
      <w:tr>
        <w:tblPrEx>
          <w:tblCellMar>
            <w:top w:w="0" w:type="dxa"/>
            <w:left w:w="108" w:type="dxa"/>
            <w:bottom w:w="0" w:type="dxa"/>
            <w:right w:w="108" w:type="dxa"/>
          </w:tblCellMar>
        </w:tblPrEx>
        <w:trPr>
          <w:trHeight w:val="450" w:hRule="atLeast"/>
        </w:trPr>
        <w:tc>
          <w:tcPr>
            <w:tcW w:w="42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其中：财政资金</w:t>
            </w:r>
          </w:p>
        </w:tc>
        <w:tc>
          <w:tcPr>
            <w:tcW w:w="429" w:type="pct"/>
            <w:tcBorders>
              <w:top w:val="nil"/>
              <w:left w:val="nil"/>
              <w:bottom w:val="single" w:color="000000" w:sz="4" w:space="0"/>
              <w:right w:val="single" w:color="000000" w:sz="4" w:space="0"/>
            </w:tcBorders>
            <w:shd w:val="clear" w:color="auto" w:fill="auto"/>
            <w:vAlign w:val="center"/>
          </w:tcPr>
          <w:p>
            <w:pPr>
              <w:widowControl/>
              <w:jc w:val="both"/>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1286"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lang w:val="en-US" w:eastAsia="zh-CN"/>
              </w:rPr>
              <w:t>0.00</w:t>
            </w:r>
            <w:r>
              <w:rPr>
                <w:rFonts w:hint="eastAsia" w:ascii="宋体" w:hAnsi="宋体" w:cs="宋体"/>
                <w:color w:val="000000"/>
                <w:kern w:val="0"/>
                <w:sz w:val="18"/>
                <w:szCs w:val="18"/>
              </w:rPr>
              <w:t>%</w:t>
            </w:r>
          </w:p>
        </w:tc>
        <w:tc>
          <w:tcPr>
            <w:tcW w:w="44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9" w:type="pct"/>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50" w:hRule="atLeast"/>
        </w:trPr>
        <w:tc>
          <w:tcPr>
            <w:tcW w:w="42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财政专户管理资金</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1286"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0.00%</w:t>
            </w:r>
          </w:p>
        </w:tc>
        <w:tc>
          <w:tcPr>
            <w:tcW w:w="44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9" w:type="pct"/>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270" w:hRule="atLeast"/>
        </w:trPr>
        <w:tc>
          <w:tcPr>
            <w:tcW w:w="42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单位资金</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206.29</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206.29</w:t>
            </w:r>
          </w:p>
        </w:tc>
        <w:tc>
          <w:tcPr>
            <w:tcW w:w="1286"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189.30</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91.77%</w:t>
            </w:r>
          </w:p>
        </w:tc>
        <w:tc>
          <w:tcPr>
            <w:tcW w:w="44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9" w:type="pct"/>
            <w:vMerge w:val="continue"/>
            <w:tcBorders>
              <w:top w:val="nil"/>
              <w:left w:val="single" w:color="000000" w:sz="4" w:space="0"/>
              <w:bottom w:val="single" w:color="000000"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270" w:hRule="atLeast"/>
        </w:trPr>
        <w:tc>
          <w:tcPr>
            <w:tcW w:w="429" w:type="pct"/>
            <w:vMerge w:val="continue"/>
            <w:tcBorders>
              <w:top w:val="nil"/>
              <w:left w:val="single" w:color="000000" w:sz="4" w:space="0"/>
              <w:bottom w:val="single" w:color="auto" w:sz="4" w:space="0"/>
              <w:right w:val="single" w:color="000000" w:sz="4" w:space="0"/>
            </w:tcBorders>
            <w:vAlign w:val="center"/>
          </w:tcPr>
          <w:p>
            <w:pPr>
              <w:widowControl/>
              <w:jc w:val="left"/>
              <w:rPr>
                <w:rFonts w:ascii="宋体" w:hAnsi="宋体" w:cs="宋体"/>
                <w:color w:val="000000"/>
                <w:kern w:val="0"/>
                <w:sz w:val="18"/>
                <w:szCs w:val="18"/>
              </w:rPr>
            </w:pPr>
          </w:p>
        </w:tc>
        <w:tc>
          <w:tcPr>
            <w:tcW w:w="429" w:type="pct"/>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429" w:type="pct"/>
            <w:tcBorders>
              <w:top w:val="nil"/>
              <w:left w:val="nil"/>
              <w:bottom w:val="single" w:color="auto"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29" w:type="pct"/>
            <w:tcBorders>
              <w:top w:val="nil"/>
              <w:left w:val="nil"/>
              <w:bottom w:val="single" w:color="auto"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1286" w:type="pct"/>
            <w:gridSpan w:val="3"/>
            <w:tcBorders>
              <w:top w:val="single" w:color="000000" w:sz="4" w:space="0"/>
              <w:left w:val="nil"/>
              <w:bottom w:val="single" w:color="auto"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563" w:type="pct"/>
            <w:tcBorders>
              <w:top w:val="nil"/>
              <w:left w:val="nil"/>
              <w:bottom w:val="single" w:color="auto"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c>
          <w:tcPr>
            <w:tcW w:w="444" w:type="pct"/>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3" w:type="pct"/>
            <w:tcBorders>
              <w:top w:val="nil"/>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9" w:type="pct"/>
            <w:vMerge w:val="continue"/>
            <w:tcBorders>
              <w:top w:val="nil"/>
              <w:left w:val="single" w:color="000000" w:sz="4" w:space="0"/>
              <w:bottom w:val="single" w:color="auto" w:sz="4" w:space="0"/>
              <w:right w:val="single" w:color="000000" w:sz="4" w:space="0"/>
            </w:tcBorders>
            <w:vAlign w:val="center"/>
          </w:tcPr>
          <w:p>
            <w:pPr>
              <w:widowControl/>
              <w:jc w:val="left"/>
              <w:rPr>
                <w:rFonts w:ascii="Courier New" w:hAnsi="Courier New" w:cs="Courier New"/>
                <w:i/>
                <w:iCs/>
                <w:color w:val="000000"/>
                <w:kern w:val="0"/>
                <w:sz w:val="18"/>
                <w:szCs w:val="18"/>
              </w:rPr>
            </w:pPr>
          </w:p>
        </w:tc>
      </w:tr>
      <w:tr>
        <w:tblPrEx>
          <w:tblCellMar>
            <w:top w:w="0" w:type="dxa"/>
            <w:left w:w="108" w:type="dxa"/>
            <w:bottom w:w="0" w:type="dxa"/>
            <w:right w:w="108" w:type="dxa"/>
          </w:tblCellMar>
        </w:tblPrEx>
        <w:trPr>
          <w:trHeight w:val="450" w:hRule="atLeast"/>
        </w:trPr>
        <w:tc>
          <w:tcPr>
            <w:tcW w:w="4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绩效指标（90分）</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指标性质</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度量单位</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4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权重</w:t>
            </w:r>
          </w:p>
        </w:tc>
        <w:tc>
          <w:tcPr>
            <w:tcW w:w="5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c>
          <w:tcPr>
            <w:tcW w:w="42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未完成原因分析</w:t>
            </w:r>
          </w:p>
        </w:tc>
      </w:tr>
      <w:tr>
        <w:tblPrEx>
          <w:tblCellMar>
            <w:top w:w="0" w:type="dxa"/>
            <w:left w:w="108" w:type="dxa"/>
            <w:bottom w:w="0" w:type="dxa"/>
            <w:right w:w="108" w:type="dxa"/>
          </w:tblCellMar>
        </w:tblPrEx>
        <w:trPr>
          <w:trHeight w:val="270" w:hRule="atLeast"/>
        </w:trPr>
        <w:tc>
          <w:tcPr>
            <w:tcW w:w="429" w:type="pct"/>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29"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产出指标</w:t>
            </w:r>
          </w:p>
        </w:tc>
        <w:tc>
          <w:tcPr>
            <w:tcW w:w="429" w:type="pct"/>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数量指标</w:t>
            </w:r>
          </w:p>
        </w:tc>
        <w:tc>
          <w:tcPr>
            <w:tcW w:w="429" w:type="pct"/>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培训人次</w:t>
            </w:r>
          </w:p>
        </w:tc>
        <w:tc>
          <w:tcPr>
            <w:tcW w:w="429" w:type="pct"/>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9" w:type="pct"/>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24152</w:t>
            </w:r>
          </w:p>
        </w:tc>
        <w:tc>
          <w:tcPr>
            <w:tcW w:w="429" w:type="pct"/>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人次</w:t>
            </w:r>
          </w:p>
        </w:tc>
        <w:tc>
          <w:tcPr>
            <w:tcW w:w="563" w:type="pct"/>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27917人</w:t>
            </w:r>
          </w:p>
        </w:tc>
        <w:tc>
          <w:tcPr>
            <w:tcW w:w="444" w:type="pct"/>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63" w:type="pct"/>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29" w:type="pct"/>
            <w:tcBorders>
              <w:top w:val="single" w:color="auto" w:sz="4" w:space="0"/>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0" w:hRule="atLeast"/>
        </w:trPr>
        <w:tc>
          <w:tcPr>
            <w:tcW w:w="429" w:type="pct"/>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2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29"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质量指标</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培训学员合格率</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44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0" w:hRule="atLeast"/>
        </w:trPr>
        <w:tc>
          <w:tcPr>
            <w:tcW w:w="429" w:type="pct"/>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2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2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提高学员就业创业能力</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优良中低差</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44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70" w:hRule="atLeast"/>
        </w:trPr>
        <w:tc>
          <w:tcPr>
            <w:tcW w:w="429" w:type="pct"/>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29"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时效指标</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完成时间</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2022</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w:t>
            </w:r>
          </w:p>
        </w:tc>
        <w:tc>
          <w:tcPr>
            <w:tcW w:w="44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675" w:hRule="atLeast"/>
        </w:trPr>
        <w:tc>
          <w:tcPr>
            <w:tcW w:w="429" w:type="pct"/>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效益指标</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对退役军人事务工作的促进作用</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定性</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优良中低差</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优</w:t>
            </w:r>
          </w:p>
        </w:tc>
        <w:tc>
          <w:tcPr>
            <w:tcW w:w="44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450" w:hRule="atLeast"/>
        </w:trPr>
        <w:tc>
          <w:tcPr>
            <w:tcW w:w="429" w:type="pct"/>
            <w:vMerge w:val="continue"/>
            <w:tcBorders>
              <w:top w:val="nil"/>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18"/>
                <w:szCs w:val="18"/>
              </w:rPr>
            </w:pP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满意度指标</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培训人员满意度</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44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429" w:type="pct"/>
            <w:tcBorders>
              <w:top w:val="nil"/>
              <w:left w:val="nil"/>
              <w:bottom w:val="single" w:color="000000" w:sz="4" w:space="0"/>
              <w:right w:val="single" w:color="000000" w:sz="4" w:space="0"/>
            </w:tcBorders>
            <w:shd w:val="clear" w:color="auto" w:fill="auto"/>
            <w:vAlign w:val="center"/>
          </w:tcPr>
          <w:p>
            <w:pPr>
              <w:widowControl/>
              <w:jc w:val="center"/>
              <w:rPr>
                <w:rFonts w:ascii="微软雅黑" w:hAnsi="微软雅黑" w:eastAsia="微软雅黑" w:cs="宋体"/>
                <w:i/>
                <w:iCs/>
                <w:color w:val="000000"/>
                <w:kern w:val="0"/>
                <w:sz w:val="16"/>
                <w:szCs w:val="16"/>
              </w:rPr>
            </w:pPr>
            <w:r>
              <w:rPr>
                <w:rFonts w:hint="eastAsia" w:ascii="微软雅黑" w:hAnsi="微软雅黑" w:eastAsia="微软雅黑" w:cs="宋体"/>
                <w:i/>
                <w:iCs/>
                <w:color w:val="000000"/>
                <w:kern w:val="0"/>
                <w:sz w:val="16"/>
                <w:szCs w:val="16"/>
              </w:rPr>
              <w:t>　</w:t>
            </w:r>
          </w:p>
        </w:tc>
      </w:tr>
      <w:tr>
        <w:tblPrEx>
          <w:tblCellMar>
            <w:top w:w="0" w:type="dxa"/>
            <w:left w:w="108" w:type="dxa"/>
            <w:bottom w:w="0" w:type="dxa"/>
            <w:right w:w="108" w:type="dxa"/>
          </w:tblCellMar>
        </w:tblPrEx>
        <w:trPr>
          <w:trHeight w:val="270" w:hRule="atLeast"/>
        </w:trPr>
        <w:tc>
          <w:tcPr>
            <w:tcW w:w="356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44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563"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429" w:type="pct"/>
            <w:tcBorders>
              <w:top w:val="nil"/>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200" w:hRule="atLeast"/>
        </w:trPr>
        <w:tc>
          <w:tcPr>
            <w:tcW w:w="429"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评价结论</w:t>
            </w:r>
          </w:p>
        </w:tc>
        <w:tc>
          <w:tcPr>
            <w:tcW w:w="4571"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自评得分100分,该项目依托退役军人培训网，以提升退役士兵就业创业能力为主线，以完善培训机制为重点，汇集优秀教育资源，搭建退役士兵职业技能、职业发展、知识更新</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一站式</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服务平台，持续丰富网络教育，为退役士兵在线参加适应性培训、职业技能培训提供支撑，帮助退役士兵更好地了解省情市（州）情，改善知识结构，全面提高综合素质，完成角色转换。</w:t>
            </w:r>
          </w:p>
        </w:tc>
      </w:tr>
      <w:tr>
        <w:tblPrEx>
          <w:tblCellMar>
            <w:top w:w="0" w:type="dxa"/>
            <w:left w:w="108" w:type="dxa"/>
            <w:bottom w:w="0" w:type="dxa"/>
            <w:right w:w="108" w:type="dxa"/>
          </w:tblCellMar>
        </w:tblPrEx>
        <w:trPr>
          <w:trHeight w:val="559" w:hRule="atLeast"/>
        </w:trPr>
        <w:tc>
          <w:tcPr>
            <w:tcW w:w="429"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存在问题</w:t>
            </w:r>
          </w:p>
        </w:tc>
        <w:tc>
          <w:tcPr>
            <w:tcW w:w="4571"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培训项目实施后，根据学员的反馈意见，学员对于技能方面的培训课程内容、培训形式等提出了相应要求，我们应根据学员需求对课程设置做持续改进。</w:t>
            </w:r>
          </w:p>
        </w:tc>
      </w:tr>
      <w:tr>
        <w:tblPrEx>
          <w:tblCellMar>
            <w:top w:w="0" w:type="dxa"/>
            <w:left w:w="108" w:type="dxa"/>
            <w:bottom w:w="0" w:type="dxa"/>
            <w:right w:w="108" w:type="dxa"/>
          </w:tblCellMar>
        </w:tblPrEx>
        <w:trPr>
          <w:trHeight w:val="480" w:hRule="atLeast"/>
        </w:trPr>
        <w:tc>
          <w:tcPr>
            <w:tcW w:w="429"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改进措施</w:t>
            </w:r>
          </w:p>
        </w:tc>
        <w:tc>
          <w:tcPr>
            <w:tcW w:w="4571" w:type="pct"/>
            <w:gridSpan w:val="10"/>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根据资金的投入情况，针对项目自评中发现的问题，对课程做进一步完善，丰富课程内容，使课程更贴近学员需求。</w:t>
            </w:r>
          </w:p>
        </w:tc>
      </w:tr>
      <w:tr>
        <w:tblPrEx>
          <w:tblCellMar>
            <w:top w:w="0" w:type="dxa"/>
            <w:left w:w="108" w:type="dxa"/>
            <w:bottom w:w="0" w:type="dxa"/>
            <w:right w:w="108" w:type="dxa"/>
          </w:tblCellMar>
        </w:tblPrEx>
        <w:trPr>
          <w:trHeight w:val="270" w:hRule="atLeast"/>
        </w:trPr>
        <w:tc>
          <w:tcPr>
            <w:tcW w:w="2143"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项目负责人：</w:t>
            </w:r>
          </w:p>
        </w:tc>
        <w:tc>
          <w:tcPr>
            <w:tcW w:w="2857" w:type="pct"/>
            <w:gridSpan w:val="6"/>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财务负责人：</w:t>
            </w:r>
          </w:p>
        </w:tc>
      </w:tr>
    </w:tbl>
    <w:p>
      <w:pPr>
        <w:widowControl/>
        <w:spacing w:line="600" w:lineRule="exact"/>
        <w:jc w:val="left"/>
        <w:rPr>
          <w:rStyle w:val="27"/>
          <w:rFonts w:eastAsia="方正仿宋简体"/>
          <w:b w:val="0"/>
        </w:rPr>
      </w:pPr>
    </w:p>
    <w:p>
      <w:pPr>
        <w:widowControl/>
        <w:spacing w:line="600" w:lineRule="exact"/>
        <w:jc w:val="left"/>
        <w:rPr>
          <w:rStyle w:val="27"/>
          <w:rFonts w:eastAsia="黑体"/>
          <w:b w:val="0"/>
        </w:rPr>
      </w:pPr>
    </w:p>
    <w:p>
      <w:pPr>
        <w:widowControl/>
        <w:spacing w:line="600" w:lineRule="exact"/>
        <w:jc w:val="left"/>
        <w:rPr>
          <w:rStyle w:val="27"/>
          <w:rFonts w:eastAsia="黑体"/>
          <w:b w:val="0"/>
        </w:rPr>
      </w:pPr>
    </w:p>
    <w:p>
      <w:pPr>
        <w:widowControl/>
        <w:spacing w:line="600" w:lineRule="exact"/>
        <w:jc w:val="left"/>
        <w:rPr>
          <w:rStyle w:val="27"/>
          <w:rFonts w:eastAsia="黑体"/>
          <w:b w:val="0"/>
        </w:rPr>
      </w:pPr>
    </w:p>
    <w:p>
      <w:pPr>
        <w:pStyle w:val="2"/>
        <w:spacing w:before="93"/>
        <w:rPr>
          <w:rFonts w:ascii="Times New Roman"/>
        </w:rPr>
      </w:pPr>
    </w:p>
    <w:p>
      <w:pPr>
        <w:spacing w:line="600" w:lineRule="exact"/>
        <w:jc w:val="center"/>
        <w:outlineLvl w:val="0"/>
        <w:rPr>
          <w:rStyle w:val="27"/>
          <w:rFonts w:ascii="方正黑体简体" w:hAnsi="方正黑体简体" w:eastAsia="方正黑体简体"/>
          <w:b w:val="0"/>
        </w:rPr>
      </w:pPr>
      <w:bookmarkStart w:id="99" w:name="_Toc15396618"/>
      <w:bookmarkStart w:id="100" w:name="_Toc80458073"/>
      <w:r>
        <w:rPr>
          <w:rFonts w:ascii="方正黑体简体" w:hAnsi="方正黑体简体" w:eastAsia="方正黑体简体"/>
          <w:color w:val="000000"/>
          <w:sz w:val="44"/>
          <w:szCs w:val="44"/>
        </w:rPr>
        <w:t>第</w:t>
      </w:r>
      <w:r>
        <w:rPr>
          <w:rStyle w:val="27"/>
          <w:rFonts w:ascii="方正黑体简体" w:hAnsi="方正黑体简体" w:eastAsia="方正黑体简体"/>
          <w:b w:val="0"/>
        </w:rPr>
        <w:t>五部分</w:t>
      </w:r>
      <w:r>
        <w:rPr>
          <w:rStyle w:val="27"/>
          <w:rFonts w:hint="eastAsia" w:ascii="方正黑体简体" w:hAnsi="方正黑体简体" w:eastAsia="方正黑体简体"/>
          <w:b w:val="0"/>
        </w:rPr>
        <w:t xml:space="preserve"> </w:t>
      </w:r>
      <w:r>
        <w:rPr>
          <w:rStyle w:val="27"/>
          <w:rFonts w:ascii="方正黑体简体" w:hAnsi="方正黑体简体" w:eastAsia="方正黑体简体"/>
          <w:b w:val="0"/>
        </w:rPr>
        <w:t>附表</w:t>
      </w:r>
      <w:bookmarkEnd w:id="96"/>
      <w:bookmarkEnd w:id="99"/>
      <w:bookmarkEnd w:id="100"/>
      <w:bookmarkStart w:id="101" w:name="_Toc15396619"/>
    </w:p>
    <w:p>
      <w:pPr>
        <w:pStyle w:val="4"/>
        <w:spacing w:line="600" w:lineRule="exact"/>
        <w:rPr>
          <w:rFonts w:hint="default" w:ascii="Times New Roman" w:hAnsi="Times New Roman" w:eastAsia="方正仿宋简体" w:cs="Times New Roman"/>
        </w:rPr>
      </w:pPr>
      <w:r>
        <w:rPr>
          <w:rFonts w:hint="default" w:ascii="Times New Roman" w:hAnsi="Times New Roman" w:eastAsia="方正仿宋简体" w:cs="Times New Roman"/>
          <w:b w:val="0"/>
        </w:rPr>
        <w:t>一、收</w:t>
      </w:r>
      <w:r>
        <w:rPr>
          <w:rStyle w:val="28"/>
          <w:rFonts w:hint="default" w:ascii="Times New Roman" w:hAnsi="Times New Roman" w:eastAsia="方正仿宋简体" w:cs="Times New Roman"/>
          <w:b w:val="0"/>
          <w:bCs w:val="0"/>
        </w:rPr>
        <w:t>入支出决算总表</w:t>
      </w:r>
    </w:p>
    <w:p>
      <w:pPr>
        <w:pStyle w:val="4"/>
        <w:spacing w:line="600" w:lineRule="exact"/>
        <w:rPr>
          <w:rFonts w:hint="default" w:ascii="Times New Roman" w:hAnsi="Times New Roman" w:eastAsia="方正仿宋简体" w:cs="Times New Roman"/>
        </w:rPr>
      </w:pPr>
      <w:bookmarkStart w:id="102" w:name="_Toc15396620"/>
      <w:r>
        <w:rPr>
          <w:rFonts w:hint="default" w:ascii="Times New Roman" w:hAnsi="Times New Roman" w:eastAsia="方正仿宋简体" w:cs="Times New Roman"/>
          <w:b w:val="0"/>
        </w:rPr>
        <w:t>二、收</w:t>
      </w:r>
      <w:r>
        <w:rPr>
          <w:rStyle w:val="28"/>
          <w:rFonts w:hint="default" w:ascii="Times New Roman" w:hAnsi="Times New Roman" w:eastAsia="方正仿宋简体" w:cs="Times New Roman"/>
          <w:b w:val="0"/>
          <w:bCs w:val="0"/>
        </w:rPr>
        <w:t>入决算表</w:t>
      </w:r>
      <w:bookmarkEnd w:id="102"/>
    </w:p>
    <w:p>
      <w:pPr>
        <w:pStyle w:val="4"/>
        <w:spacing w:line="600" w:lineRule="exact"/>
        <w:rPr>
          <w:rFonts w:hint="default" w:ascii="Times New Roman" w:hAnsi="Times New Roman" w:eastAsia="方正仿宋简体" w:cs="Times New Roman"/>
        </w:rPr>
      </w:pPr>
      <w:bookmarkStart w:id="103" w:name="_Toc15396621"/>
      <w:r>
        <w:rPr>
          <w:rStyle w:val="28"/>
          <w:rFonts w:hint="default" w:ascii="Times New Roman" w:hAnsi="Times New Roman" w:eastAsia="方正仿宋简体" w:cs="Times New Roman"/>
          <w:b w:val="0"/>
          <w:bCs w:val="0"/>
        </w:rPr>
        <w:t>三、</w:t>
      </w:r>
      <w:r>
        <w:rPr>
          <w:rFonts w:hint="default" w:ascii="Times New Roman" w:hAnsi="Times New Roman" w:eastAsia="方正仿宋简体" w:cs="Times New Roman"/>
          <w:b w:val="0"/>
        </w:rPr>
        <w:t>支</w:t>
      </w:r>
      <w:r>
        <w:rPr>
          <w:rStyle w:val="28"/>
          <w:rFonts w:hint="default" w:ascii="Times New Roman" w:hAnsi="Times New Roman" w:eastAsia="方正仿宋简体" w:cs="Times New Roman"/>
          <w:b w:val="0"/>
          <w:bCs w:val="0"/>
        </w:rPr>
        <w:t>出决算表</w:t>
      </w:r>
      <w:bookmarkEnd w:id="103"/>
    </w:p>
    <w:p>
      <w:pPr>
        <w:pStyle w:val="4"/>
        <w:spacing w:line="600" w:lineRule="exact"/>
        <w:rPr>
          <w:rFonts w:hint="default" w:ascii="Times New Roman" w:hAnsi="Times New Roman" w:eastAsia="方正仿宋简体" w:cs="Times New Roman"/>
          <w:b w:val="0"/>
        </w:rPr>
      </w:pPr>
      <w:bookmarkStart w:id="104" w:name="_Toc15396622"/>
      <w:r>
        <w:rPr>
          <w:rStyle w:val="28"/>
          <w:rFonts w:hint="default" w:ascii="Times New Roman" w:hAnsi="Times New Roman" w:eastAsia="方正仿宋简体" w:cs="Times New Roman"/>
          <w:b w:val="0"/>
          <w:bCs w:val="0"/>
        </w:rPr>
        <w:t>四、</w:t>
      </w:r>
      <w:r>
        <w:rPr>
          <w:rFonts w:hint="default" w:ascii="Times New Roman" w:hAnsi="Times New Roman" w:eastAsia="方正仿宋简体" w:cs="Times New Roman"/>
          <w:b w:val="0"/>
        </w:rPr>
        <w:t>财</w:t>
      </w:r>
      <w:r>
        <w:rPr>
          <w:rStyle w:val="28"/>
          <w:rFonts w:hint="default" w:ascii="Times New Roman" w:hAnsi="Times New Roman" w:eastAsia="方正仿宋简体" w:cs="Times New Roman"/>
          <w:b w:val="0"/>
          <w:bCs w:val="0"/>
        </w:rPr>
        <w:t>政拨款收入支出决算总表</w:t>
      </w:r>
      <w:bookmarkEnd w:id="104"/>
    </w:p>
    <w:p>
      <w:pPr>
        <w:pStyle w:val="4"/>
        <w:spacing w:line="600" w:lineRule="exact"/>
        <w:rPr>
          <w:rStyle w:val="28"/>
          <w:rFonts w:hint="default" w:ascii="Times New Roman" w:hAnsi="Times New Roman" w:eastAsia="方正仿宋简体" w:cs="Times New Roman"/>
          <w:b w:val="0"/>
          <w:bCs w:val="0"/>
        </w:rPr>
      </w:pPr>
      <w:bookmarkStart w:id="105" w:name="_Toc15396623"/>
      <w:r>
        <w:rPr>
          <w:rStyle w:val="28"/>
          <w:rFonts w:hint="default" w:ascii="Times New Roman" w:hAnsi="Times New Roman" w:eastAsia="方正仿宋简体" w:cs="Times New Roman"/>
          <w:b w:val="0"/>
          <w:bCs w:val="0"/>
        </w:rPr>
        <w:t>五、</w:t>
      </w:r>
      <w:r>
        <w:rPr>
          <w:rFonts w:hint="default" w:ascii="Times New Roman" w:hAnsi="Times New Roman" w:eastAsia="方正仿宋简体" w:cs="Times New Roman"/>
          <w:b w:val="0"/>
        </w:rPr>
        <w:t>财</w:t>
      </w:r>
      <w:r>
        <w:rPr>
          <w:rStyle w:val="28"/>
          <w:rFonts w:hint="default" w:ascii="Times New Roman" w:hAnsi="Times New Roman" w:eastAsia="方正仿宋简体" w:cs="Times New Roman"/>
          <w:b w:val="0"/>
          <w:bCs w:val="0"/>
        </w:rPr>
        <w:t>政拨款支出决算明细表</w:t>
      </w:r>
      <w:bookmarkEnd w:id="105"/>
      <w:bookmarkStart w:id="106" w:name="_Toc15396624"/>
    </w:p>
    <w:p>
      <w:pPr>
        <w:pStyle w:val="4"/>
        <w:spacing w:line="600" w:lineRule="exact"/>
        <w:rPr>
          <w:rFonts w:hint="default" w:ascii="Times New Roman" w:hAnsi="Times New Roman" w:eastAsia="方正仿宋简体" w:cs="Times New Roman"/>
        </w:rPr>
      </w:pPr>
      <w:r>
        <w:rPr>
          <w:rStyle w:val="28"/>
          <w:rFonts w:hint="default" w:ascii="Times New Roman" w:hAnsi="Times New Roman" w:eastAsia="方正仿宋简体" w:cs="Times New Roman"/>
          <w:b w:val="0"/>
          <w:bCs w:val="0"/>
        </w:rPr>
        <w:t>六、</w:t>
      </w:r>
      <w:r>
        <w:rPr>
          <w:rFonts w:hint="default" w:ascii="Times New Roman" w:hAnsi="Times New Roman" w:eastAsia="方正仿宋简体" w:cs="Times New Roman"/>
          <w:b w:val="0"/>
        </w:rPr>
        <w:t>一</w:t>
      </w:r>
      <w:r>
        <w:rPr>
          <w:rStyle w:val="28"/>
          <w:rFonts w:hint="default" w:ascii="Times New Roman" w:hAnsi="Times New Roman" w:eastAsia="方正仿宋简体" w:cs="Times New Roman"/>
          <w:b w:val="0"/>
          <w:bCs w:val="0"/>
        </w:rPr>
        <w:t>般公共预算财政拨款支出决算表</w:t>
      </w:r>
      <w:bookmarkEnd w:id="106"/>
    </w:p>
    <w:p>
      <w:pPr>
        <w:pStyle w:val="4"/>
        <w:spacing w:line="600" w:lineRule="exact"/>
        <w:rPr>
          <w:rFonts w:hint="default" w:ascii="Times New Roman" w:hAnsi="Times New Roman" w:eastAsia="方正仿宋简体" w:cs="Times New Roman"/>
        </w:rPr>
      </w:pPr>
      <w:bookmarkStart w:id="107" w:name="_Toc15396625"/>
      <w:r>
        <w:rPr>
          <w:rStyle w:val="28"/>
          <w:rFonts w:hint="default" w:ascii="Times New Roman" w:hAnsi="Times New Roman" w:eastAsia="方正仿宋简体" w:cs="Times New Roman"/>
          <w:b w:val="0"/>
          <w:bCs w:val="0"/>
        </w:rPr>
        <w:t>七、</w:t>
      </w:r>
      <w:r>
        <w:rPr>
          <w:rFonts w:hint="default" w:ascii="Times New Roman" w:hAnsi="Times New Roman" w:eastAsia="方正仿宋简体" w:cs="Times New Roman"/>
          <w:b w:val="0"/>
        </w:rPr>
        <w:t>一</w:t>
      </w:r>
      <w:r>
        <w:rPr>
          <w:rStyle w:val="28"/>
          <w:rFonts w:hint="default" w:ascii="Times New Roman" w:hAnsi="Times New Roman" w:eastAsia="方正仿宋简体" w:cs="Times New Roman"/>
          <w:b w:val="0"/>
          <w:bCs w:val="0"/>
        </w:rPr>
        <w:t>般公共预算财政拨款支出决算明细表</w:t>
      </w:r>
      <w:bookmarkEnd w:id="107"/>
    </w:p>
    <w:p>
      <w:pPr>
        <w:pStyle w:val="4"/>
        <w:spacing w:line="600" w:lineRule="exact"/>
        <w:rPr>
          <w:rFonts w:hint="default" w:ascii="Times New Roman" w:hAnsi="Times New Roman" w:eastAsia="方正仿宋简体" w:cs="Times New Roman"/>
        </w:rPr>
      </w:pPr>
      <w:bookmarkStart w:id="108" w:name="_Toc15396626"/>
      <w:r>
        <w:rPr>
          <w:rStyle w:val="28"/>
          <w:rFonts w:hint="default" w:ascii="Times New Roman" w:hAnsi="Times New Roman" w:eastAsia="方正仿宋简体" w:cs="Times New Roman"/>
          <w:b w:val="0"/>
          <w:bCs w:val="0"/>
        </w:rPr>
        <w:t>八、</w:t>
      </w:r>
      <w:r>
        <w:rPr>
          <w:rFonts w:hint="default" w:ascii="Times New Roman" w:hAnsi="Times New Roman" w:eastAsia="方正仿宋简体" w:cs="Times New Roman"/>
          <w:b w:val="0"/>
        </w:rPr>
        <w:t>一</w:t>
      </w:r>
      <w:r>
        <w:rPr>
          <w:rStyle w:val="28"/>
          <w:rFonts w:hint="default" w:ascii="Times New Roman" w:hAnsi="Times New Roman" w:eastAsia="方正仿宋简体" w:cs="Times New Roman"/>
          <w:b w:val="0"/>
          <w:bCs w:val="0"/>
        </w:rPr>
        <w:t>般公共预算财政拨款基本支出决算表</w:t>
      </w:r>
      <w:bookmarkEnd w:id="108"/>
    </w:p>
    <w:p>
      <w:pPr>
        <w:pStyle w:val="4"/>
        <w:spacing w:line="600" w:lineRule="exact"/>
        <w:rPr>
          <w:rFonts w:hint="default" w:ascii="Times New Roman" w:hAnsi="Times New Roman" w:eastAsia="方正仿宋简体" w:cs="Times New Roman"/>
        </w:rPr>
      </w:pPr>
      <w:bookmarkStart w:id="109" w:name="_Toc15396627"/>
      <w:r>
        <w:rPr>
          <w:rStyle w:val="28"/>
          <w:rFonts w:hint="default" w:ascii="Times New Roman" w:hAnsi="Times New Roman" w:eastAsia="方正仿宋简体" w:cs="Times New Roman"/>
          <w:b w:val="0"/>
          <w:bCs w:val="0"/>
        </w:rPr>
        <w:t>九、</w:t>
      </w:r>
      <w:r>
        <w:rPr>
          <w:rFonts w:hint="default" w:ascii="Times New Roman" w:hAnsi="Times New Roman" w:eastAsia="方正仿宋简体" w:cs="Times New Roman"/>
          <w:b w:val="0"/>
        </w:rPr>
        <w:t>一</w:t>
      </w:r>
      <w:r>
        <w:rPr>
          <w:rStyle w:val="28"/>
          <w:rFonts w:hint="default" w:ascii="Times New Roman" w:hAnsi="Times New Roman" w:eastAsia="方正仿宋简体" w:cs="Times New Roman"/>
          <w:b w:val="0"/>
          <w:bCs w:val="0"/>
        </w:rPr>
        <w:t>般公共预算财政拨款项目支出决算表</w:t>
      </w:r>
      <w:bookmarkEnd w:id="109"/>
    </w:p>
    <w:p>
      <w:pPr>
        <w:pStyle w:val="4"/>
        <w:spacing w:line="600" w:lineRule="exact"/>
        <w:rPr>
          <w:rFonts w:hint="default" w:ascii="Times New Roman" w:hAnsi="Times New Roman" w:eastAsia="方正仿宋简体" w:cs="Times New Roman"/>
        </w:rPr>
      </w:pPr>
      <w:bookmarkStart w:id="110" w:name="_Toc15396628"/>
      <w:r>
        <w:rPr>
          <w:rStyle w:val="28"/>
          <w:rFonts w:hint="default" w:ascii="Times New Roman" w:hAnsi="Times New Roman" w:eastAsia="方正仿宋简体" w:cs="Times New Roman"/>
          <w:b w:val="0"/>
          <w:bCs w:val="0"/>
        </w:rPr>
        <w:t>十、</w:t>
      </w:r>
      <w:bookmarkEnd w:id="110"/>
      <w:r>
        <w:rPr>
          <w:rFonts w:hint="default" w:ascii="Times New Roman" w:hAnsi="Times New Roman" w:eastAsia="方正仿宋简体" w:cs="Times New Roman"/>
          <w:b w:val="0"/>
        </w:rPr>
        <w:t>政</w:t>
      </w:r>
      <w:r>
        <w:rPr>
          <w:rStyle w:val="28"/>
          <w:rFonts w:hint="default" w:ascii="Times New Roman" w:hAnsi="Times New Roman" w:eastAsia="方正仿宋简体" w:cs="Times New Roman"/>
          <w:b w:val="0"/>
          <w:bCs w:val="0"/>
        </w:rPr>
        <w:t>府性基金预算财政拨款收入支出决算表</w:t>
      </w:r>
    </w:p>
    <w:p>
      <w:pPr>
        <w:pStyle w:val="4"/>
        <w:spacing w:line="600" w:lineRule="exact"/>
        <w:rPr>
          <w:rFonts w:hint="default" w:ascii="Times New Roman" w:hAnsi="Times New Roman" w:eastAsia="方正仿宋简体" w:cs="Times New Roman"/>
        </w:rPr>
      </w:pPr>
      <w:bookmarkStart w:id="111" w:name="_Toc15396629"/>
      <w:r>
        <w:rPr>
          <w:rStyle w:val="28"/>
          <w:rFonts w:hint="default" w:ascii="Times New Roman" w:hAnsi="Times New Roman" w:eastAsia="方正仿宋简体" w:cs="Times New Roman"/>
          <w:b w:val="0"/>
          <w:bCs w:val="0"/>
        </w:rPr>
        <w:t>十一、</w:t>
      </w:r>
      <w:bookmarkEnd w:id="111"/>
      <w:r>
        <w:rPr>
          <w:rFonts w:hint="default" w:ascii="Times New Roman" w:hAnsi="Times New Roman" w:eastAsia="方正仿宋简体" w:cs="Times New Roman"/>
          <w:b w:val="0"/>
        </w:rPr>
        <w:t>国</w:t>
      </w:r>
      <w:r>
        <w:rPr>
          <w:rStyle w:val="28"/>
          <w:rFonts w:hint="default" w:ascii="Times New Roman" w:hAnsi="Times New Roman" w:eastAsia="方正仿宋简体" w:cs="Times New Roman"/>
          <w:b w:val="0"/>
          <w:bCs w:val="0"/>
        </w:rPr>
        <w:t>有资本经营预算财政拨款收入支出决算表</w:t>
      </w:r>
    </w:p>
    <w:p>
      <w:pPr>
        <w:pStyle w:val="4"/>
        <w:spacing w:line="600" w:lineRule="exact"/>
        <w:rPr>
          <w:rFonts w:hint="default" w:ascii="Times New Roman" w:hAnsi="Times New Roman" w:eastAsia="方正仿宋简体" w:cs="Times New Roman"/>
        </w:rPr>
      </w:pPr>
      <w:bookmarkStart w:id="112" w:name="_Toc15396630"/>
      <w:r>
        <w:rPr>
          <w:rStyle w:val="28"/>
          <w:rFonts w:hint="default" w:ascii="Times New Roman" w:hAnsi="Times New Roman" w:eastAsia="方正仿宋简体" w:cs="Times New Roman"/>
          <w:b w:val="0"/>
          <w:bCs w:val="0"/>
        </w:rPr>
        <w:t>十二、</w:t>
      </w:r>
      <w:bookmarkEnd w:id="112"/>
      <w:r>
        <w:rPr>
          <w:rStyle w:val="28"/>
          <w:rFonts w:hint="default" w:ascii="Times New Roman" w:hAnsi="Times New Roman" w:eastAsia="方正仿宋简体" w:cs="Times New Roman"/>
          <w:b w:val="0"/>
          <w:bCs w:val="0"/>
        </w:rPr>
        <w:t>国有资本经营预算财政拨款支出决算表</w:t>
      </w:r>
    </w:p>
    <w:p>
      <w:pPr>
        <w:pStyle w:val="4"/>
        <w:spacing w:line="600" w:lineRule="exact"/>
        <w:rPr>
          <w:rFonts w:hint="default" w:ascii="Times New Roman" w:hAnsi="Times New Roman" w:eastAsia="方正仿宋简体" w:cs="Times New Roman"/>
        </w:rPr>
      </w:pPr>
      <w:bookmarkStart w:id="113" w:name="_Toc15396631"/>
      <w:r>
        <w:rPr>
          <w:rStyle w:val="28"/>
          <w:rFonts w:hint="default" w:ascii="Times New Roman" w:hAnsi="Times New Roman" w:eastAsia="方正仿宋简体" w:cs="Times New Roman"/>
          <w:b w:val="0"/>
          <w:bCs w:val="0"/>
        </w:rPr>
        <w:t>十三、</w:t>
      </w:r>
      <w:bookmarkEnd w:id="113"/>
      <w:r>
        <w:rPr>
          <w:rStyle w:val="28"/>
          <w:rFonts w:hint="default" w:ascii="Times New Roman" w:hAnsi="Times New Roman" w:eastAsia="方正仿宋简体" w:cs="Times New Roman"/>
          <w:b w:val="0"/>
          <w:bCs w:val="0"/>
        </w:rPr>
        <w:t>财政拨款“三公”经费支出决算表</w:t>
      </w:r>
    </w:p>
    <w:bookmarkEnd w:id="101"/>
    <w:p>
      <w:pPr>
        <w:spacing w:line="600" w:lineRule="exact"/>
        <w:rPr>
          <w:rFonts w:eastAsia="仿宋"/>
          <w:sz w:val="32"/>
          <w:szCs w:val="32"/>
        </w:rPr>
      </w:pPr>
    </w:p>
    <w:sectPr>
      <w:headerReference r:id="rId3" w:type="default"/>
      <w:footerReference r:id="rId4" w:type="default"/>
      <w:footerReference r:id="rId5" w:type="even"/>
      <w:pgSz w:w="11906" w:h="16838"/>
      <w:pgMar w:top="1928" w:right="1588" w:bottom="1701" w:left="1588"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2878453"/>
    </w:sdtPr>
    <w:sdtEndPr>
      <w:rPr>
        <w:rFonts w:asciiTheme="minorEastAsia" w:hAnsiTheme="minorEastAsia" w:eastAsiaTheme="minorEastAsia"/>
        <w:sz w:val="24"/>
        <w:szCs w:val="24"/>
      </w:rPr>
    </w:sdtEndPr>
    <w:sdtContent>
      <w:p>
        <w:pPr>
          <w:pStyle w:val="10"/>
          <w:numPr>
            <w:ilvl w:val="0"/>
            <w:numId w:val="1"/>
          </w:numPr>
          <w:jc w:val="right"/>
          <w:rPr>
            <w:rFonts w:asciiTheme="minorEastAsia" w:hAnsiTheme="minorEastAsia" w:eastAsiaTheme="minorEastAsia"/>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PAGE   \* MERGEFORMAT</w:instrText>
        </w:r>
        <w:r>
          <w:rPr>
            <w:rFonts w:ascii="Times New Roman" w:hAnsi="Times New Roman" w:eastAsiaTheme="minorEastAsia"/>
            <w:sz w:val="24"/>
            <w:szCs w:val="24"/>
          </w:rPr>
          <w:fldChar w:fldCharType="separate"/>
        </w:r>
        <w:r>
          <w:rPr>
            <w:rFonts w:ascii="Times New Roman" w:hAnsi="Times New Roman" w:eastAsiaTheme="minorEastAsia"/>
            <w:sz w:val="24"/>
            <w:szCs w:val="24"/>
            <w:lang w:val="zh-CN"/>
          </w:rPr>
          <w:t>5</w:t>
        </w:r>
        <w:r>
          <w:rPr>
            <w:rFonts w:ascii="Times New Roman" w:hAnsi="Times New Roman" w:eastAsiaTheme="minorEastAsia"/>
            <w:sz w:val="24"/>
            <w:szCs w:val="24"/>
          </w:rPr>
          <w:fldChar w:fldCharType="end"/>
        </w:r>
        <w:r>
          <w:rPr>
            <w:rFonts w:hint="eastAsia" w:asciiTheme="minorEastAsia" w:hAnsiTheme="minorEastAsia" w:eastAsiaTheme="minorEastAsia"/>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710447"/>
    </w:sdtPr>
    <w:sdtEndPr>
      <w:rPr>
        <w:rFonts w:asciiTheme="minorEastAsia" w:hAnsiTheme="minorEastAsia" w:eastAsiaTheme="minorEastAsia"/>
        <w:sz w:val="24"/>
        <w:szCs w:val="24"/>
      </w:rPr>
    </w:sdtEndPr>
    <w:sdtContent>
      <w:p>
        <w:pPr>
          <w:pStyle w:val="10"/>
          <w:numPr>
            <w:ilvl w:val="0"/>
            <w:numId w:val="2"/>
          </w:numPr>
          <w:rPr>
            <w:rFonts w:asciiTheme="minorEastAsia" w:hAnsiTheme="minorEastAsia" w:eastAsiaTheme="minorEastAsia"/>
            <w:sz w:val="24"/>
            <w:szCs w:val="24"/>
          </w:rPr>
        </w:pPr>
        <w:r>
          <w:rPr>
            <w:rFonts w:ascii="Times New Roman" w:hAnsi="Times New Roman" w:eastAsiaTheme="minorEastAsia"/>
            <w:sz w:val="24"/>
            <w:szCs w:val="24"/>
          </w:rPr>
          <w:fldChar w:fldCharType="begin"/>
        </w:r>
        <w:r>
          <w:rPr>
            <w:rFonts w:ascii="Times New Roman" w:hAnsi="Times New Roman" w:eastAsiaTheme="minorEastAsia"/>
            <w:sz w:val="24"/>
            <w:szCs w:val="24"/>
          </w:rPr>
          <w:instrText xml:space="preserve">PAGE   \* MERGEFORMAT</w:instrText>
        </w:r>
        <w:r>
          <w:rPr>
            <w:rFonts w:ascii="Times New Roman" w:hAnsi="Times New Roman" w:eastAsiaTheme="minorEastAsia"/>
            <w:sz w:val="24"/>
            <w:szCs w:val="24"/>
          </w:rPr>
          <w:fldChar w:fldCharType="separate"/>
        </w:r>
        <w:r>
          <w:rPr>
            <w:rFonts w:ascii="Times New Roman" w:hAnsi="Times New Roman" w:eastAsiaTheme="minorEastAsia"/>
            <w:sz w:val="24"/>
            <w:szCs w:val="24"/>
            <w:lang w:val="zh-CN"/>
          </w:rPr>
          <w:t>6</w:t>
        </w:r>
        <w:r>
          <w:rPr>
            <w:rFonts w:ascii="Times New Roman" w:hAnsi="Times New Roman" w:eastAsiaTheme="minorEastAsia"/>
            <w:sz w:val="24"/>
            <w:szCs w:val="24"/>
          </w:rPr>
          <w:fldChar w:fldCharType="end"/>
        </w:r>
        <w:r>
          <w:rPr>
            <w:rFonts w:hint="eastAsia" w:asciiTheme="minorEastAsia" w:hAnsiTheme="minorEastAsia" w:eastAsiaTheme="minorEastAsia"/>
            <w:sz w:val="24"/>
            <w:szCs w:val="24"/>
          </w:rPr>
          <w:t>—</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1B36C7F"/>
    <w:multiLevelType w:val="multilevel"/>
    <w:tmpl w:val="31B36C7F"/>
    <w:lvl w:ilvl="0" w:tentative="0">
      <w:start w:val="2"/>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5CA0EDF"/>
    <w:multiLevelType w:val="multilevel"/>
    <w:tmpl w:val="45CA0EDF"/>
    <w:lvl w:ilvl="0" w:tentative="0">
      <w:start w:val="3"/>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jOWNmNjI0ZmQxNmM0MWJkOWFiNjdjMzJjZGY5MGMifQ=="/>
  </w:docVars>
  <w:rsids>
    <w:rsidRoot w:val="00F1361C"/>
    <w:rsid w:val="00014D27"/>
    <w:rsid w:val="00016673"/>
    <w:rsid w:val="000222C6"/>
    <w:rsid w:val="0002549F"/>
    <w:rsid w:val="00025720"/>
    <w:rsid w:val="00037265"/>
    <w:rsid w:val="00037D4B"/>
    <w:rsid w:val="00040E3E"/>
    <w:rsid w:val="000468DB"/>
    <w:rsid w:val="00050072"/>
    <w:rsid w:val="0006487A"/>
    <w:rsid w:val="00065F8F"/>
    <w:rsid w:val="000670C1"/>
    <w:rsid w:val="000707A6"/>
    <w:rsid w:val="00070A43"/>
    <w:rsid w:val="00073455"/>
    <w:rsid w:val="00075D98"/>
    <w:rsid w:val="000768F2"/>
    <w:rsid w:val="000904D0"/>
    <w:rsid w:val="0009184B"/>
    <w:rsid w:val="00094236"/>
    <w:rsid w:val="0009593C"/>
    <w:rsid w:val="00097322"/>
    <w:rsid w:val="000A6A92"/>
    <w:rsid w:val="000B047F"/>
    <w:rsid w:val="000B5923"/>
    <w:rsid w:val="000B5A48"/>
    <w:rsid w:val="000B628C"/>
    <w:rsid w:val="000B6FF3"/>
    <w:rsid w:val="000B7098"/>
    <w:rsid w:val="000C3467"/>
    <w:rsid w:val="000C3CA6"/>
    <w:rsid w:val="000C6BFA"/>
    <w:rsid w:val="000D1267"/>
    <w:rsid w:val="000D1D50"/>
    <w:rsid w:val="000D5782"/>
    <w:rsid w:val="000D666E"/>
    <w:rsid w:val="000E123B"/>
    <w:rsid w:val="000E6613"/>
    <w:rsid w:val="000E710E"/>
    <w:rsid w:val="000E7119"/>
    <w:rsid w:val="000F17B4"/>
    <w:rsid w:val="000F2BD1"/>
    <w:rsid w:val="0010389F"/>
    <w:rsid w:val="001057F9"/>
    <w:rsid w:val="00114E9B"/>
    <w:rsid w:val="00117485"/>
    <w:rsid w:val="0012320A"/>
    <w:rsid w:val="00127F0F"/>
    <w:rsid w:val="00132CB0"/>
    <w:rsid w:val="001351AF"/>
    <w:rsid w:val="00142216"/>
    <w:rsid w:val="00144D6A"/>
    <w:rsid w:val="0014729F"/>
    <w:rsid w:val="00157BAB"/>
    <w:rsid w:val="00161EAB"/>
    <w:rsid w:val="001654D1"/>
    <w:rsid w:val="00166C25"/>
    <w:rsid w:val="001721BB"/>
    <w:rsid w:val="00174518"/>
    <w:rsid w:val="0018106D"/>
    <w:rsid w:val="001877A7"/>
    <w:rsid w:val="00191536"/>
    <w:rsid w:val="00196687"/>
    <w:rsid w:val="001971D9"/>
    <w:rsid w:val="001B2D47"/>
    <w:rsid w:val="001B6642"/>
    <w:rsid w:val="001C0750"/>
    <w:rsid w:val="001C0777"/>
    <w:rsid w:val="001C0962"/>
    <w:rsid w:val="001C6C39"/>
    <w:rsid w:val="001D32D4"/>
    <w:rsid w:val="001D7531"/>
    <w:rsid w:val="001E118B"/>
    <w:rsid w:val="001E696E"/>
    <w:rsid w:val="001E6E16"/>
    <w:rsid w:val="001E737D"/>
    <w:rsid w:val="001E7D27"/>
    <w:rsid w:val="001F0592"/>
    <w:rsid w:val="001F5C25"/>
    <w:rsid w:val="001F7506"/>
    <w:rsid w:val="002006CD"/>
    <w:rsid w:val="00202B36"/>
    <w:rsid w:val="00204B7A"/>
    <w:rsid w:val="00204CDE"/>
    <w:rsid w:val="0021101A"/>
    <w:rsid w:val="0021438E"/>
    <w:rsid w:val="00214609"/>
    <w:rsid w:val="00220536"/>
    <w:rsid w:val="00235629"/>
    <w:rsid w:val="00240FD9"/>
    <w:rsid w:val="00260C38"/>
    <w:rsid w:val="002616C0"/>
    <w:rsid w:val="00265372"/>
    <w:rsid w:val="002662AA"/>
    <w:rsid w:val="00267E50"/>
    <w:rsid w:val="00273480"/>
    <w:rsid w:val="00276AC0"/>
    <w:rsid w:val="00280496"/>
    <w:rsid w:val="0028532C"/>
    <w:rsid w:val="00294DC9"/>
    <w:rsid w:val="00295495"/>
    <w:rsid w:val="002A31DE"/>
    <w:rsid w:val="002B2613"/>
    <w:rsid w:val="002C4A10"/>
    <w:rsid w:val="002D6D05"/>
    <w:rsid w:val="002F1818"/>
    <w:rsid w:val="002F567B"/>
    <w:rsid w:val="003000DD"/>
    <w:rsid w:val="00314ADA"/>
    <w:rsid w:val="003150D3"/>
    <w:rsid w:val="003216A9"/>
    <w:rsid w:val="003220B1"/>
    <w:rsid w:val="00335A74"/>
    <w:rsid w:val="003646B4"/>
    <w:rsid w:val="0036561B"/>
    <w:rsid w:val="0037013F"/>
    <w:rsid w:val="00380C92"/>
    <w:rsid w:val="0039706D"/>
    <w:rsid w:val="003A484F"/>
    <w:rsid w:val="003A4883"/>
    <w:rsid w:val="003A6EBD"/>
    <w:rsid w:val="003B0BE0"/>
    <w:rsid w:val="003B0C1B"/>
    <w:rsid w:val="003B36F3"/>
    <w:rsid w:val="003B688C"/>
    <w:rsid w:val="003C0291"/>
    <w:rsid w:val="003C39AE"/>
    <w:rsid w:val="003C7B60"/>
    <w:rsid w:val="003D0C0F"/>
    <w:rsid w:val="003D1FB2"/>
    <w:rsid w:val="003D66DA"/>
    <w:rsid w:val="003D693C"/>
    <w:rsid w:val="003E1310"/>
    <w:rsid w:val="003E56DC"/>
    <w:rsid w:val="003E6F55"/>
    <w:rsid w:val="003E6FFF"/>
    <w:rsid w:val="003F1C16"/>
    <w:rsid w:val="003F4C36"/>
    <w:rsid w:val="00406254"/>
    <w:rsid w:val="004223DE"/>
    <w:rsid w:val="00434489"/>
    <w:rsid w:val="00437085"/>
    <w:rsid w:val="0044157D"/>
    <w:rsid w:val="00443880"/>
    <w:rsid w:val="00444EBD"/>
    <w:rsid w:val="004464F4"/>
    <w:rsid w:val="00446568"/>
    <w:rsid w:val="00454370"/>
    <w:rsid w:val="0045667E"/>
    <w:rsid w:val="00465F62"/>
    <w:rsid w:val="00467373"/>
    <w:rsid w:val="00471401"/>
    <w:rsid w:val="00473F31"/>
    <w:rsid w:val="0048263A"/>
    <w:rsid w:val="00483B29"/>
    <w:rsid w:val="0048699E"/>
    <w:rsid w:val="00487E5D"/>
    <w:rsid w:val="00490807"/>
    <w:rsid w:val="00497C03"/>
    <w:rsid w:val="004A711F"/>
    <w:rsid w:val="004B076E"/>
    <w:rsid w:val="004B199D"/>
    <w:rsid w:val="004B44D0"/>
    <w:rsid w:val="004B4690"/>
    <w:rsid w:val="004D30C5"/>
    <w:rsid w:val="004D42B5"/>
    <w:rsid w:val="004D6916"/>
    <w:rsid w:val="004E0A2D"/>
    <w:rsid w:val="004E206B"/>
    <w:rsid w:val="004E6DF7"/>
    <w:rsid w:val="004F0E0C"/>
    <w:rsid w:val="004F0FBD"/>
    <w:rsid w:val="004F5593"/>
    <w:rsid w:val="00505A47"/>
    <w:rsid w:val="00512FDA"/>
    <w:rsid w:val="005148BA"/>
    <w:rsid w:val="00520DA0"/>
    <w:rsid w:val="005463EE"/>
    <w:rsid w:val="00547B3C"/>
    <w:rsid w:val="00550F08"/>
    <w:rsid w:val="0055122F"/>
    <w:rsid w:val="00555B22"/>
    <w:rsid w:val="005664BB"/>
    <w:rsid w:val="00566FFA"/>
    <w:rsid w:val="0056768A"/>
    <w:rsid w:val="0057481D"/>
    <w:rsid w:val="0058486E"/>
    <w:rsid w:val="00585046"/>
    <w:rsid w:val="00585B33"/>
    <w:rsid w:val="0059014D"/>
    <w:rsid w:val="005A65B2"/>
    <w:rsid w:val="005B0DE0"/>
    <w:rsid w:val="005B56F3"/>
    <w:rsid w:val="005B5C64"/>
    <w:rsid w:val="005C079C"/>
    <w:rsid w:val="005C0FF3"/>
    <w:rsid w:val="005C5337"/>
    <w:rsid w:val="005C609F"/>
    <w:rsid w:val="005C6BD0"/>
    <w:rsid w:val="005D1C8B"/>
    <w:rsid w:val="005D468D"/>
    <w:rsid w:val="005D5CED"/>
    <w:rsid w:val="005F18F0"/>
    <w:rsid w:val="005F1A4C"/>
    <w:rsid w:val="005F7263"/>
    <w:rsid w:val="00605688"/>
    <w:rsid w:val="006070AF"/>
    <w:rsid w:val="00607E6C"/>
    <w:rsid w:val="006101B1"/>
    <w:rsid w:val="00614E44"/>
    <w:rsid w:val="0062270A"/>
    <w:rsid w:val="00622830"/>
    <w:rsid w:val="00623DA0"/>
    <w:rsid w:val="00630AEF"/>
    <w:rsid w:val="00631D47"/>
    <w:rsid w:val="006325F8"/>
    <w:rsid w:val="00633463"/>
    <w:rsid w:val="00634C9A"/>
    <w:rsid w:val="00635953"/>
    <w:rsid w:val="006440E4"/>
    <w:rsid w:val="0065585D"/>
    <w:rsid w:val="00663010"/>
    <w:rsid w:val="0066343B"/>
    <w:rsid w:val="00664777"/>
    <w:rsid w:val="00674297"/>
    <w:rsid w:val="00674744"/>
    <w:rsid w:val="006748A4"/>
    <w:rsid w:val="00681A31"/>
    <w:rsid w:val="00683E73"/>
    <w:rsid w:val="00685F83"/>
    <w:rsid w:val="00686286"/>
    <w:rsid w:val="00687F43"/>
    <w:rsid w:val="00692AF8"/>
    <w:rsid w:val="00692CD5"/>
    <w:rsid w:val="006954BC"/>
    <w:rsid w:val="00696B81"/>
    <w:rsid w:val="006A3141"/>
    <w:rsid w:val="006A504F"/>
    <w:rsid w:val="006A5E34"/>
    <w:rsid w:val="006B0C12"/>
    <w:rsid w:val="006B2422"/>
    <w:rsid w:val="006B2B9A"/>
    <w:rsid w:val="006C1937"/>
    <w:rsid w:val="006E3140"/>
    <w:rsid w:val="006E455D"/>
    <w:rsid w:val="006E67CB"/>
    <w:rsid w:val="006E78AE"/>
    <w:rsid w:val="006F020C"/>
    <w:rsid w:val="007127B7"/>
    <w:rsid w:val="0071798E"/>
    <w:rsid w:val="00725A8D"/>
    <w:rsid w:val="007351F7"/>
    <w:rsid w:val="007374A7"/>
    <w:rsid w:val="007379C4"/>
    <w:rsid w:val="00740FF7"/>
    <w:rsid w:val="007416B6"/>
    <w:rsid w:val="007466D6"/>
    <w:rsid w:val="00746F48"/>
    <w:rsid w:val="0075404D"/>
    <w:rsid w:val="007565B6"/>
    <w:rsid w:val="0076182A"/>
    <w:rsid w:val="00767B7E"/>
    <w:rsid w:val="007770C3"/>
    <w:rsid w:val="00781C5D"/>
    <w:rsid w:val="00784D24"/>
    <w:rsid w:val="00785CE3"/>
    <w:rsid w:val="00785FBA"/>
    <w:rsid w:val="00786E4A"/>
    <w:rsid w:val="007875EB"/>
    <w:rsid w:val="0079426B"/>
    <w:rsid w:val="00797522"/>
    <w:rsid w:val="00797CEC"/>
    <w:rsid w:val="007A26F2"/>
    <w:rsid w:val="007B153C"/>
    <w:rsid w:val="007C0511"/>
    <w:rsid w:val="007D1682"/>
    <w:rsid w:val="007D2038"/>
    <w:rsid w:val="007D312A"/>
    <w:rsid w:val="007D3F19"/>
    <w:rsid w:val="007E23B0"/>
    <w:rsid w:val="007E23E5"/>
    <w:rsid w:val="007E782E"/>
    <w:rsid w:val="007F1991"/>
    <w:rsid w:val="007F2C2F"/>
    <w:rsid w:val="007F55FC"/>
    <w:rsid w:val="007F5665"/>
    <w:rsid w:val="007F591A"/>
    <w:rsid w:val="007F7E7C"/>
    <w:rsid w:val="00800112"/>
    <w:rsid w:val="00805FAE"/>
    <w:rsid w:val="00813348"/>
    <w:rsid w:val="008206F3"/>
    <w:rsid w:val="008215D5"/>
    <w:rsid w:val="008253BB"/>
    <w:rsid w:val="0083706E"/>
    <w:rsid w:val="008408F6"/>
    <w:rsid w:val="008423A5"/>
    <w:rsid w:val="00845BEE"/>
    <w:rsid w:val="00850625"/>
    <w:rsid w:val="00853474"/>
    <w:rsid w:val="00853718"/>
    <w:rsid w:val="00855221"/>
    <w:rsid w:val="0085721C"/>
    <w:rsid w:val="00860645"/>
    <w:rsid w:val="00871F71"/>
    <w:rsid w:val="00872FD8"/>
    <w:rsid w:val="008825B4"/>
    <w:rsid w:val="00885AF4"/>
    <w:rsid w:val="008939CD"/>
    <w:rsid w:val="00894B56"/>
    <w:rsid w:val="00895A69"/>
    <w:rsid w:val="00897B90"/>
    <w:rsid w:val="008A1449"/>
    <w:rsid w:val="008B3610"/>
    <w:rsid w:val="008B768C"/>
    <w:rsid w:val="008C4DB1"/>
    <w:rsid w:val="008C4EAF"/>
    <w:rsid w:val="008C5176"/>
    <w:rsid w:val="008C7FD0"/>
    <w:rsid w:val="008D76EB"/>
    <w:rsid w:val="008E07CB"/>
    <w:rsid w:val="008E1DE7"/>
    <w:rsid w:val="008E707C"/>
    <w:rsid w:val="008F103D"/>
    <w:rsid w:val="00900B08"/>
    <w:rsid w:val="00902155"/>
    <w:rsid w:val="00902FA3"/>
    <w:rsid w:val="00903310"/>
    <w:rsid w:val="00910350"/>
    <w:rsid w:val="00913133"/>
    <w:rsid w:val="00922736"/>
    <w:rsid w:val="00923564"/>
    <w:rsid w:val="0092392E"/>
    <w:rsid w:val="009315F9"/>
    <w:rsid w:val="00933499"/>
    <w:rsid w:val="009350F6"/>
    <w:rsid w:val="00935C98"/>
    <w:rsid w:val="00946945"/>
    <w:rsid w:val="00950DAB"/>
    <w:rsid w:val="00951248"/>
    <w:rsid w:val="0095152F"/>
    <w:rsid w:val="00952561"/>
    <w:rsid w:val="00954C49"/>
    <w:rsid w:val="00955E37"/>
    <w:rsid w:val="009570A3"/>
    <w:rsid w:val="00960CE7"/>
    <w:rsid w:val="00963535"/>
    <w:rsid w:val="00964021"/>
    <w:rsid w:val="00965A6D"/>
    <w:rsid w:val="0097099F"/>
    <w:rsid w:val="00971997"/>
    <w:rsid w:val="00971FFC"/>
    <w:rsid w:val="009821FE"/>
    <w:rsid w:val="0098224C"/>
    <w:rsid w:val="0098660A"/>
    <w:rsid w:val="009931C3"/>
    <w:rsid w:val="00993AB7"/>
    <w:rsid w:val="009A49C9"/>
    <w:rsid w:val="009B2C43"/>
    <w:rsid w:val="009B4EAE"/>
    <w:rsid w:val="009B5ECB"/>
    <w:rsid w:val="009B7573"/>
    <w:rsid w:val="009C22F4"/>
    <w:rsid w:val="009C2A4B"/>
    <w:rsid w:val="009C2E98"/>
    <w:rsid w:val="009D2DB6"/>
    <w:rsid w:val="009D3447"/>
    <w:rsid w:val="009D4711"/>
    <w:rsid w:val="009D6116"/>
    <w:rsid w:val="009F0551"/>
    <w:rsid w:val="009F1185"/>
    <w:rsid w:val="009F18CD"/>
    <w:rsid w:val="009F2A13"/>
    <w:rsid w:val="009F3C81"/>
    <w:rsid w:val="009F41DA"/>
    <w:rsid w:val="009F4745"/>
    <w:rsid w:val="009F7527"/>
    <w:rsid w:val="00A04EB0"/>
    <w:rsid w:val="00A13CC1"/>
    <w:rsid w:val="00A14EA6"/>
    <w:rsid w:val="00A16847"/>
    <w:rsid w:val="00A171F9"/>
    <w:rsid w:val="00A237D8"/>
    <w:rsid w:val="00A268C4"/>
    <w:rsid w:val="00A307CD"/>
    <w:rsid w:val="00A331C8"/>
    <w:rsid w:val="00A34F3F"/>
    <w:rsid w:val="00A355A6"/>
    <w:rsid w:val="00A40A00"/>
    <w:rsid w:val="00A40BAE"/>
    <w:rsid w:val="00A4142F"/>
    <w:rsid w:val="00A422EB"/>
    <w:rsid w:val="00A45BB7"/>
    <w:rsid w:val="00A5089A"/>
    <w:rsid w:val="00A56DF2"/>
    <w:rsid w:val="00A56E6E"/>
    <w:rsid w:val="00A61C7C"/>
    <w:rsid w:val="00A67AB5"/>
    <w:rsid w:val="00A725A8"/>
    <w:rsid w:val="00A72DEA"/>
    <w:rsid w:val="00A733B2"/>
    <w:rsid w:val="00A741C2"/>
    <w:rsid w:val="00A87828"/>
    <w:rsid w:val="00A91760"/>
    <w:rsid w:val="00A93B00"/>
    <w:rsid w:val="00A93C21"/>
    <w:rsid w:val="00AB64C9"/>
    <w:rsid w:val="00AC3C6A"/>
    <w:rsid w:val="00AD103B"/>
    <w:rsid w:val="00AD5620"/>
    <w:rsid w:val="00AD656B"/>
    <w:rsid w:val="00AD7C1B"/>
    <w:rsid w:val="00AE16BA"/>
    <w:rsid w:val="00AE1EBE"/>
    <w:rsid w:val="00AE4B77"/>
    <w:rsid w:val="00AF46CA"/>
    <w:rsid w:val="00B03C9D"/>
    <w:rsid w:val="00B04735"/>
    <w:rsid w:val="00B060AE"/>
    <w:rsid w:val="00B10517"/>
    <w:rsid w:val="00B14E76"/>
    <w:rsid w:val="00B161B8"/>
    <w:rsid w:val="00B2048C"/>
    <w:rsid w:val="00B240B8"/>
    <w:rsid w:val="00B310B9"/>
    <w:rsid w:val="00B33FC2"/>
    <w:rsid w:val="00B35F3F"/>
    <w:rsid w:val="00B361FD"/>
    <w:rsid w:val="00B36CBB"/>
    <w:rsid w:val="00B425E0"/>
    <w:rsid w:val="00B440AA"/>
    <w:rsid w:val="00B44B70"/>
    <w:rsid w:val="00B500C7"/>
    <w:rsid w:val="00B53C56"/>
    <w:rsid w:val="00B57DAF"/>
    <w:rsid w:val="00B73C56"/>
    <w:rsid w:val="00B77EA6"/>
    <w:rsid w:val="00B81598"/>
    <w:rsid w:val="00B82EFF"/>
    <w:rsid w:val="00B841F1"/>
    <w:rsid w:val="00B944D6"/>
    <w:rsid w:val="00BA2405"/>
    <w:rsid w:val="00BA4A2A"/>
    <w:rsid w:val="00BB4DF0"/>
    <w:rsid w:val="00BC17E9"/>
    <w:rsid w:val="00BC289F"/>
    <w:rsid w:val="00BC2D50"/>
    <w:rsid w:val="00BC2E0A"/>
    <w:rsid w:val="00BC361F"/>
    <w:rsid w:val="00BC5361"/>
    <w:rsid w:val="00BC5460"/>
    <w:rsid w:val="00BC6B50"/>
    <w:rsid w:val="00BD0E25"/>
    <w:rsid w:val="00BD2C73"/>
    <w:rsid w:val="00BE477A"/>
    <w:rsid w:val="00BE5E26"/>
    <w:rsid w:val="00BE76F5"/>
    <w:rsid w:val="00BF5BD6"/>
    <w:rsid w:val="00C01707"/>
    <w:rsid w:val="00C03E31"/>
    <w:rsid w:val="00C1682C"/>
    <w:rsid w:val="00C33E72"/>
    <w:rsid w:val="00C354B2"/>
    <w:rsid w:val="00C35554"/>
    <w:rsid w:val="00C40394"/>
    <w:rsid w:val="00C40CFB"/>
    <w:rsid w:val="00C42709"/>
    <w:rsid w:val="00C533CC"/>
    <w:rsid w:val="00C56FF4"/>
    <w:rsid w:val="00C5751C"/>
    <w:rsid w:val="00C60F4A"/>
    <w:rsid w:val="00C61BFC"/>
    <w:rsid w:val="00C62B85"/>
    <w:rsid w:val="00C64B2F"/>
    <w:rsid w:val="00C65438"/>
    <w:rsid w:val="00C87FD8"/>
    <w:rsid w:val="00C902D0"/>
    <w:rsid w:val="00C91381"/>
    <w:rsid w:val="00C91CBB"/>
    <w:rsid w:val="00CA5D83"/>
    <w:rsid w:val="00CB4E70"/>
    <w:rsid w:val="00CB5906"/>
    <w:rsid w:val="00CC09B6"/>
    <w:rsid w:val="00CC1A8B"/>
    <w:rsid w:val="00CC3684"/>
    <w:rsid w:val="00CC434A"/>
    <w:rsid w:val="00CC666F"/>
    <w:rsid w:val="00CD0428"/>
    <w:rsid w:val="00CD1E3F"/>
    <w:rsid w:val="00CD6801"/>
    <w:rsid w:val="00CE44F6"/>
    <w:rsid w:val="00CE49DA"/>
    <w:rsid w:val="00CE7B61"/>
    <w:rsid w:val="00CF2751"/>
    <w:rsid w:val="00D00095"/>
    <w:rsid w:val="00D101FB"/>
    <w:rsid w:val="00D114F0"/>
    <w:rsid w:val="00D20620"/>
    <w:rsid w:val="00D254F7"/>
    <w:rsid w:val="00D26091"/>
    <w:rsid w:val="00D2685C"/>
    <w:rsid w:val="00D300F2"/>
    <w:rsid w:val="00D331B0"/>
    <w:rsid w:val="00D33E76"/>
    <w:rsid w:val="00D34463"/>
    <w:rsid w:val="00D34E7C"/>
    <w:rsid w:val="00D35489"/>
    <w:rsid w:val="00D36AFE"/>
    <w:rsid w:val="00D51276"/>
    <w:rsid w:val="00D56FF2"/>
    <w:rsid w:val="00D7035F"/>
    <w:rsid w:val="00D74552"/>
    <w:rsid w:val="00D95151"/>
    <w:rsid w:val="00DA634F"/>
    <w:rsid w:val="00DA65AC"/>
    <w:rsid w:val="00DB1913"/>
    <w:rsid w:val="00DB69E9"/>
    <w:rsid w:val="00DC410D"/>
    <w:rsid w:val="00DC5A81"/>
    <w:rsid w:val="00DC68CA"/>
    <w:rsid w:val="00DC74A0"/>
    <w:rsid w:val="00DC7CBA"/>
    <w:rsid w:val="00DD13F9"/>
    <w:rsid w:val="00DD3695"/>
    <w:rsid w:val="00DD73B7"/>
    <w:rsid w:val="00DE32A7"/>
    <w:rsid w:val="00DE44D8"/>
    <w:rsid w:val="00DE6D33"/>
    <w:rsid w:val="00DF28BC"/>
    <w:rsid w:val="00DF34B9"/>
    <w:rsid w:val="00DF57C2"/>
    <w:rsid w:val="00E01053"/>
    <w:rsid w:val="00E07ACF"/>
    <w:rsid w:val="00E17841"/>
    <w:rsid w:val="00E245FC"/>
    <w:rsid w:val="00E331A1"/>
    <w:rsid w:val="00E33202"/>
    <w:rsid w:val="00E336A9"/>
    <w:rsid w:val="00E4297D"/>
    <w:rsid w:val="00E450AF"/>
    <w:rsid w:val="00E472B1"/>
    <w:rsid w:val="00E50624"/>
    <w:rsid w:val="00E568DF"/>
    <w:rsid w:val="00E577F6"/>
    <w:rsid w:val="00E6251C"/>
    <w:rsid w:val="00E64269"/>
    <w:rsid w:val="00E64434"/>
    <w:rsid w:val="00E81D9C"/>
    <w:rsid w:val="00E82267"/>
    <w:rsid w:val="00E83F26"/>
    <w:rsid w:val="00E853CE"/>
    <w:rsid w:val="00E867B6"/>
    <w:rsid w:val="00E906CD"/>
    <w:rsid w:val="00E958C7"/>
    <w:rsid w:val="00E96DDF"/>
    <w:rsid w:val="00E97C8E"/>
    <w:rsid w:val="00EA010F"/>
    <w:rsid w:val="00EA2458"/>
    <w:rsid w:val="00EB490E"/>
    <w:rsid w:val="00EC511D"/>
    <w:rsid w:val="00ED1B63"/>
    <w:rsid w:val="00ED3C1F"/>
    <w:rsid w:val="00ED4085"/>
    <w:rsid w:val="00ED4173"/>
    <w:rsid w:val="00ED420E"/>
    <w:rsid w:val="00ED6FBE"/>
    <w:rsid w:val="00EE0CA5"/>
    <w:rsid w:val="00EE1643"/>
    <w:rsid w:val="00EE16EF"/>
    <w:rsid w:val="00EE2F57"/>
    <w:rsid w:val="00EF4C34"/>
    <w:rsid w:val="00EF77C6"/>
    <w:rsid w:val="00F01CB2"/>
    <w:rsid w:val="00F05438"/>
    <w:rsid w:val="00F07303"/>
    <w:rsid w:val="00F1361C"/>
    <w:rsid w:val="00F156F0"/>
    <w:rsid w:val="00F160C7"/>
    <w:rsid w:val="00F2333C"/>
    <w:rsid w:val="00F2408F"/>
    <w:rsid w:val="00F240E9"/>
    <w:rsid w:val="00F2545D"/>
    <w:rsid w:val="00F2636A"/>
    <w:rsid w:val="00F36D8F"/>
    <w:rsid w:val="00F37586"/>
    <w:rsid w:val="00F37B2D"/>
    <w:rsid w:val="00F417B1"/>
    <w:rsid w:val="00F432B4"/>
    <w:rsid w:val="00F438AA"/>
    <w:rsid w:val="00F45853"/>
    <w:rsid w:val="00F57459"/>
    <w:rsid w:val="00F602DF"/>
    <w:rsid w:val="00F708D1"/>
    <w:rsid w:val="00F754A1"/>
    <w:rsid w:val="00F81FD9"/>
    <w:rsid w:val="00F827B2"/>
    <w:rsid w:val="00F841AA"/>
    <w:rsid w:val="00F844C4"/>
    <w:rsid w:val="00F84A94"/>
    <w:rsid w:val="00F86452"/>
    <w:rsid w:val="00F87E96"/>
    <w:rsid w:val="00F94207"/>
    <w:rsid w:val="00FA23E8"/>
    <w:rsid w:val="00FA5B25"/>
    <w:rsid w:val="00FA6149"/>
    <w:rsid w:val="00FA631F"/>
    <w:rsid w:val="00FB057E"/>
    <w:rsid w:val="00FC3798"/>
    <w:rsid w:val="00FC3FB3"/>
    <w:rsid w:val="00FD3CC1"/>
    <w:rsid w:val="00FD5DB0"/>
    <w:rsid w:val="00FF001A"/>
    <w:rsid w:val="00FF1E02"/>
    <w:rsid w:val="00FF30B4"/>
    <w:rsid w:val="00FF483F"/>
    <w:rsid w:val="011C0D26"/>
    <w:rsid w:val="0A2032A3"/>
    <w:rsid w:val="0D0E4AEA"/>
    <w:rsid w:val="100164B2"/>
    <w:rsid w:val="10C055FF"/>
    <w:rsid w:val="118107EC"/>
    <w:rsid w:val="132F6855"/>
    <w:rsid w:val="1682021E"/>
    <w:rsid w:val="16BB723D"/>
    <w:rsid w:val="1789266D"/>
    <w:rsid w:val="18015F3F"/>
    <w:rsid w:val="1BE8440E"/>
    <w:rsid w:val="1D155CEE"/>
    <w:rsid w:val="20AD4B28"/>
    <w:rsid w:val="20BA49FE"/>
    <w:rsid w:val="20EA587A"/>
    <w:rsid w:val="20F57F95"/>
    <w:rsid w:val="23A407D7"/>
    <w:rsid w:val="240371BF"/>
    <w:rsid w:val="26EE56FF"/>
    <w:rsid w:val="29FD04D3"/>
    <w:rsid w:val="2ABE7A3E"/>
    <w:rsid w:val="2B1F5793"/>
    <w:rsid w:val="2D0A2918"/>
    <w:rsid w:val="2D964B2C"/>
    <w:rsid w:val="319F7F4E"/>
    <w:rsid w:val="350922A0"/>
    <w:rsid w:val="352A7C5E"/>
    <w:rsid w:val="3BDD7DCA"/>
    <w:rsid w:val="4017103F"/>
    <w:rsid w:val="4182596E"/>
    <w:rsid w:val="41C9353A"/>
    <w:rsid w:val="47661A8A"/>
    <w:rsid w:val="496F39ED"/>
    <w:rsid w:val="4BE068DB"/>
    <w:rsid w:val="4C7D122B"/>
    <w:rsid w:val="4E72616A"/>
    <w:rsid w:val="4ECE2238"/>
    <w:rsid w:val="4F221B27"/>
    <w:rsid w:val="53267D05"/>
    <w:rsid w:val="57DE2579"/>
    <w:rsid w:val="5AD12967"/>
    <w:rsid w:val="5C530C2A"/>
    <w:rsid w:val="5C892BC1"/>
    <w:rsid w:val="5F8E00DA"/>
    <w:rsid w:val="64236812"/>
    <w:rsid w:val="66A91797"/>
    <w:rsid w:val="67CD7507"/>
    <w:rsid w:val="6A533A14"/>
    <w:rsid w:val="6AFA6028"/>
    <w:rsid w:val="6C4A05C8"/>
    <w:rsid w:val="6DB82D46"/>
    <w:rsid w:val="72734D90"/>
    <w:rsid w:val="751C7DA5"/>
    <w:rsid w:val="77B86134"/>
    <w:rsid w:val="7A997257"/>
    <w:rsid w:val="7C2D5335"/>
    <w:rsid w:val="FF977EB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annotation text"/>
    <w:basedOn w:val="1"/>
    <w:semiHidden/>
    <w:unhideWhenUsed/>
    <w:qFormat/>
    <w:uiPriority w:val="99"/>
    <w:pPr>
      <w:jc w:val="left"/>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styleId="18">
    <w:name w:val="annotation reference"/>
    <w:basedOn w:val="15"/>
    <w:semiHidden/>
    <w:unhideWhenUsed/>
    <w:qFormat/>
    <w:uiPriority w:val="99"/>
    <w:rPr>
      <w:sz w:val="21"/>
      <w:szCs w:val="21"/>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1"/>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10"/>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9"/>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TOC 标题3"/>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TOC 标题4"/>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000" b="0"/>
              <a:t>单位：万元</a:t>
            </a:r>
            <a:endParaRPr lang="zh-CN" altLang="en-US" sz="1000" b="0"/>
          </a:p>
        </c:rich>
      </c:tx>
      <c:layout>
        <c:manualLayout>
          <c:xMode val="edge"/>
          <c:yMode val="edge"/>
          <c:x val="0.858845671267252"/>
          <c:y val="0"/>
        </c:manualLayout>
      </c:layout>
      <c:overlay val="0"/>
    </c:title>
    <c:autoTitleDeleted val="0"/>
    <c:plotArea>
      <c:layout>
        <c:manualLayout>
          <c:layoutTarget val="inner"/>
          <c:xMode val="edge"/>
          <c:yMode val="edge"/>
          <c:x val="0.0863237139272271"/>
          <c:y val="0.105387774981736"/>
          <c:w val="0.886072772898369"/>
          <c:h val="0.784028249046189"/>
        </c:manualLayout>
      </c:layout>
      <c:barChart>
        <c:barDir val="col"/>
        <c:grouping val="clustered"/>
        <c:varyColors val="0"/>
        <c:ser>
          <c:idx val="0"/>
          <c:order val="0"/>
          <c:tx>
            <c:strRef>
              <c:f>Sheet1!$B$1</c:f>
              <c:strCache>
                <c:ptCount val="1"/>
                <c:pt idx="0">
                  <c:v>收支决算总计变动图（万元）</c:v>
                </c:pt>
              </c:strCache>
            </c:strRef>
          </c:tx>
          <c:invertIfNegative val="0"/>
          <c:dLbls>
            <c:dLbl>
              <c:idx val="0"/>
              <c:layout>
                <c:manualLayout>
                  <c:x val="0"/>
                  <c:y val="0.02063131834124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2022</c:v>
                </c:pt>
                <c:pt idx="1">
                  <c:v>2021</c:v>
                </c:pt>
              </c:numCache>
            </c:numRef>
          </c:cat>
          <c:val>
            <c:numRef>
              <c:f>Sheet1!$B$2:$B$3</c:f>
              <c:numCache>
                <c:formatCode>General</c:formatCode>
                <c:ptCount val="2"/>
                <c:pt idx="0">
                  <c:v>1318.61</c:v>
                </c:pt>
                <c:pt idx="1">
                  <c:v>1048.48</c:v>
                </c:pt>
              </c:numCache>
            </c:numRef>
          </c:val>
        </c:ser>
        <c:ser>
          <c:idx val="1"/>
          <c:order val="1"/>
          <c:tx>
            <c:strRef>
              <c:f>Sheet1!$C$1</c:f>
              <c:strCache>
                <c:ptCount val="1"/>
                <c:pt idx="0">
                  <c:v>列1</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2022</c:v>
                </c:pt>
                <c:pt idx="1">
                  <c:v>2021</c:v>
                </c:pt>
              </c:numCache>
            </c:numRef>
          </c:cat>
          <c:val>
            <c:numRef>
              <c:f>Sheet1!$C$2:$C$3</c:f>
              <c:numCache>
                <c:formatCode>General</c:formatCode>
                <c:ptCount val="2"/>
              </c:numCache>
            </c:numRef>
          </c:val>
        </c:ser>
        <c:dLbls>
          <c:showLegendKey val="0"/>
          <c:showVal val="1"/>
          <c:showCatName val="0"/>
          <c:showSerName val="0"/>
          <c:showPercent val="0"/>
          <c:showBubbleSize val="0"/>
        </c:dLbls>
        <c:gapWidth val="150"/>
        <c:axId val="478844800"/>
        <c:axId val="478846336"/>
      </c:barChart>
      <c:catAx>
        <c:axId val="47884480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8846336"/>
        <c:crosses val="autoZero"/>
        <c:auto val="1"/>
        <c:lblAlgn val="ctr"/>
        <c:lblOffset val="100"/>
        <c:noMultiLvlLbl val="0"/>
      </c:catAx>
      <c:valAx>
        <c:axId val="478846336"/>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8844800"/>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收入决算结构图</c:v>
                </c:pt>
              </c:strCache>
            </c:strRef>
          </c:tx>
          <c:explosion val="0"/>
          <c:dPt>
            <c:idx val="0"/>
            <c:bubble3D val="0"/>
          </c:dPt>
          <c:dPt>
            <c:idx val="1"/>
            <c:bubble3D val="0"/>
          </c:dPt>
          <c:dLbls>
            <c:dLbl>
              <c:idx val="0"/>
              <c:layout>
                <c:manualLayout>
                  <c:x val="-0.274092596533542"/>
                  <c:y val="-0.173977149915084"/>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137190655222152"/>
                  <c:y val="0.10005210745715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事业收入</c:v>
                </c:pt>
              </c:strCache>
            </c:strRef>
          </c:cat>
          <c:val>
            <c:numRef>
              <c:f>Sheet1!$B$2:$B$3</c:f>
              <c:numCache>
                <c:formatCode>0.00%</c:formatCode>
                <c:ptCount val="2"/>
                <c:pt idx="0">
                  <c:v>0.677200000000002</c:v>
                </c:pt>
                <c:pt idx="1">
                  <c:v>0.322800000000001</c:v>
                </c:pt>
              </c:numCache>
            </c:numRef>
          </c:val>
        </c:ser>
        <c:dLbls>
          <c:showLegendKey val="0"/>
          <c:showVal val="1"/>
          <c:showCatName val="1"/>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manualLayout>
          <c:layoutTarget val="inner"/>
          <c:xMode val="edge"/>
          <c:yMode val="edge"/>
          <c:x val="0.190784386962469"/>
          <c:y val="0.199793601651187"/>
          <c:w val="0.452323621478453"/>
          <c:h val="0.775438596491228"/>
        </c:manualLayout>
      </c:layout>
      <c:pie3DChart>
        <c:varyColors val="1"/>
        <c:ser>
          <c:idx val="0"/>
          <c:order val="0"/>
          <c:tx>
            <c:strRef>
              <c:f>Sheet1!$B$1</c:f>
              <c:strCache>
                <c:ptCount val="1"/>
                <c:pt idx="0">
                  <c:v>图3：支出决算结构图</c:v>
                </c:pt>
              </c:strCache>
            </c:strRef>
          </c:tx>
          <c:explosion val="0"/>
          <c:dPt>
            <c:idx val="0"/>
            <c:bubble3D val="0"/>
          </c:dPt>
          <c:dPt>
            <c:idx val="1"/>
            <c:bubble3D val="0"/>
          </c:dPt>
          <c:dLbls>
            <c:dLbl>
              <c:idx val="1"/>
              <c:layout>
                <c:manualLayout>
                  <c:x val="-0.049438202247191"/>
                  <c:y val="-0.058394160583941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0.00%</c:formatCode>
                <c:ptCount val="2"/>
                <c:pt idx="0">
                  <c:v>0.8172</c:v>
                </c:pt>
                <c:pt idx="1">
                  <c:v>0.1828</c:v>
                </c:pt>
              </c:numCache>
            </c:numRef>
          </c:val>
        </c:ser>
        <c:dLbls>
          <c:showLegendKey val="0"/>
          <c:showVal val="1"/>
          <c:showCatName val="1"/>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100" b="0"/>
              <a:t>单位：万元</a:t>
            </a:r>
            <a:endParaRPr lang="zh-CN" altLang="en-US" sz="1100" b="0"/>
          </a:p>
        </c:rich>
      </c:tx>
      <c:layout>
        <c:manualLayout>
          <c:xMode val="edge"/>
          <c:yMode val="edge"/>
          <c:x val="0.799638989169675"/>
          <c:y val="0.0123582230239796"/>
        </c:manualLayout>
      </c:layout>
      <c:overlay val="0"/>
    </c:title>
    <c:autoTitleDeleted val="0"/>
    <c:plotArea>
      <c:layout/>
      <c:barChart>
        <c:barDir val="col"/>
        <c:grouping val="clustered"/>
        <c:varyColors val="0"/>
        <c:ser>
          <c:idx val="0"/>
          <c:order val="0"/>
          <c:tx>
            <c:strRef>
              <c:f>Sheet1!$B$1</c:f>
              <c:strCache>
                <c:ptCount val="1"/>
                <c:pt idx="0">
                  <c:v>图4：财政拨款收支决算总计变动情况（万元）</c:v>
                </c:pt>
              </c:strCache>
            </c:strRef>
          </c:tx>
          <c:invertIfNegative val="0"/>
          <c:dLbls>
            <c:dLbl>
              <c:idx val="0"/>
              <c:layout>
                <c:manualLayout>
                  <c:x val="0"/>
                  <c:y val="0.01238390092879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2022</c:v>
                </c:pt>
                <c:pt idx="1">
                  <c:v>2021</c:v>
                </c:pt>
              </c:numCache>
            </c:numRef>
          </c:cat>
          <c:val>
            <c:numRef>
              <c:f>Sheet1!$B$2:$B$3</c:f>
              <c:numCache>
                <c:formatCode>General</c:formatCode>
                <c:ptCount val="2"/>
                <c:pt idx="0">
                  <c:v>501.76</c:v>
                </c:pt>
                <c:pt idx="1" c:formatCode="0.00_ ">
                  <c:v>474.49</c:v>
                </c:pt>
              </c:numCache>
            </c:numRef>
          </c:val>
        </c:ser>
        <c:dLbls>
          <c:showLegendKey val="0"/>
          <c:showVal val="1"/>
          <c:showCatName val="0"/>
          <c:showSerName val="0"/>
          <c:showPercent val="0"/>
          <c:showBubbleSize val="0"/>
        </c:dLbls>
        <c:gapWidth val="150"/>
        <c:axId val="478911104"/>
        <c:axId val="478926336"/>
      </c:barChart>
      <c:catAx>
        <c:axId val="47891110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8926336"/>
        <c:crosses val="autoZero"/>
        <c:auto val="1"/>
        <c:lblAlgn val="ctr"/>
        <c:lblOffset val="100"/>
        <c:noMultiLvlLbl val="0"/>
      </c:catAx>
      <c:valAx>
        <c:axId val="4789263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891110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100" b="0"/>
              <a:t>单位：万元</a:t>
            </a:r>
            <a:endParaRPr lang="zh-CN" altLang="en-US" sz="1100" b="0"/>
          </a:p>
        </c:rich>
      </c:tx>
      <c:layout>
        <c:manualLayout>
          <c:xMode val="edge"/>
          <c:yMode val="edge"/>
          <c:x val="0.845367027677497"/>
          <c:y val="0.0123624485019868"/>
        </c:manualLayout>
      </c:layout>
      <c:overlay val="0"/>
    </c:title>
    <c:autoTitleDeleted val="0"/>
    <c:plotArea>
      <c:layout/>
      <c:barChart>
        <c:barDir val="col"/>
        <c:grouping val="clustered"/>
        <c:varyColors val="0"/>
        <c:ser>
          <c:idx val="0"/>
          <c:order val="0"/>
          <c:tx>
            <c:strRef>
              <c:f>Sheet1!$B$1</c:f>
              <c:strCache>
                <c:ptCount val="1"/>
                <c:pt idx="0">
                  <c:v>图5：一般公共预算财政拨款支出决算变动情况</c:v>
                </c:pt>
              </c:strCache>
            </c:strRef>
          </c:tx>
          <c:invertIfNegative val="0"/>
          <c:dLbls>
            <c:dLbl>
              <c:idx val="0"/>
              <c:layout>
                <c:manualLayout>
                  <c:x val="0"/>
                  <c:y val="0.02063983488132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2022</c:v>
                </c:pt>
                <c:pt idx="1">
                  <c:v>2021</c:v>
                </c:pt>
              </c:numCache>
            </c:numRef>
          </c:cat>
          <c:val>
            <c:numRef>
              <c:f>Sheet1!$B$2:$B$3</c:f>
              <c:numCache>
                <c:formatCode>General</c:formatCode>
                <c:ptCount val="2"/>
                <c:pt idx="0">
                  <c:v>501.76</c:v>
                </c:pt>
                <c:pt idx="1" c:formatCode="0.00_ ">
                  <c:v>474.49</c:v>
                </c:pt>
              </c:numCache>
            </c:numRef>
          </c:val>
        </c:ser>
        <c:dLbls>
          <c:showLegendKey val="0"/>
          <c:showVal val="1"/>
          <c:showCatName val="0"/>
          <c:showSerName val="0"/>
          <c:showPercent val="0"/>
          <c:showBubbleSize val="0"/>
        </c:dLbls>
        <c:gapWidth val="150"/>
        <c:axId val="478933376"/>
        <c:axId val="478936064"/>
      </c:barChart>
      <c:catAx>
        <c:axId val="47893337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8936064"/>
        <c:crosses val="autoZero"/>
        <c:auto val="1"/>
        <c:lblAlgn val="ctr"/>
        <c:lblOffset val="100"/>
        <c:noMultiLvlLbl val="0"/>
      </c:catAx>
      <c:valAx>
        <c:axId val="4789360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7893337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一般公共预算财政拨款支出决算结构图</c:v>
                </c:pt>
              </c:strCache>
            </c:strRef>
          </c:tx>
          <c:explosion val="0"/>
          <c:dPt>
            <c:idx val="0"/>
            <c:bubble3D val="0"/>
          </c:dPt>
          <c:dPt>
            <c:idx val="1"/>
            <c:bubble3D val="0"/>
          </c:dPt>
          <c:dPt>
            <c:idx val="2"/>
            <c:bubble3D val="0"/>
          </c:dPt>
          <c:dPt>
            <c:idx val="3"/>
            <c:bubble3D val="0"/>
          </c:dPt>
          <c:dLbls>
            <c:dLbl>
              <c:idx val="0"/>
              <c:layout>
                <c:manualLayout>
                  <c:x val="-0.1448406313177"/>
                  <c:y val="-0.225093870652656"/>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1"/>
              <c:layout>
                <c:manualLayout>
                  <c:x val="-0.0166844212263246"/>
                  <c:y val="-0.0217102848535338"/>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2"/>
              <c:layout>
                <c:manualLayout>
                  <c:x val="0.0405237609950689"/>
                  <c:y val="-0.0467506830065181"/>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dLbl>
              <c:idx val="3"/>
              <c:layout>
                <c:manualLayout>
                  <c:x val="0.260461819539788"/>
                  <c:y val="0.000368992963827405"/>
                </c:manualLayout>
              </c:layout>
              <c:dLblPos val="bestFit"/>
              <c:showLegendKey val="0"/>
              <c:showVal val="1"/>
              <c:showCatName val="1"/>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社会保障和就业</c:v>
                </c:pt>
                <c:pt idx="1">
                  <c:v>卫生健康支出</c:v>
                </c:pt>
                <c:pt idx="2">
                  <c:v>住房保障支出</c:v>
                </c:pt>
                <c:pt idx="3">
                  <c:v>教育支出</c:v>
                </c:pt>
              </c:strCache>
            </c:strRef>
          </c:cat>
          <c:val>
            <c:numRef>
              <c:f>Sheet1!$B$2:$B$5</c:f>
              <c:numCache>
                <c:formatCode>0.00%</c:formatCode>
                <c:ptCount val="4"/>
                <c:pt idx="0">
                  <c:v>0.848100000000001</c:v>
                </c:pt>
                <c:pt idx="1">
                  <c:v>0.0399</c:v>
                </c:pt>
                <c:pt idx="2">
                  <c:v>0.0933</c:v>
                </c:pt>
                <c:pt idx="3">
                  <c:v>0.0187</c:v>
                </c:pt>
              </c:numCache>
            </c:numRef>
          </c:val>
        </c:ser>
        <c:dLbls>
          <c:showLegendKey val="0"/>
          <c:showVal val="1"/>
          <c:showCatName val="1"/>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65FB0-82B2-4E34-BABB-68A1D254BBC5}">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18</Pages>
  <Words>5235</Words>
  <Characters>5715</Characters>
  <Lines>52</Lines>
  <Paragraphs>14</Paragraphs>
  <TotalTime>2</TotalTime>
  <ScaleCrop>false</ScaleCrop>
  <LinksUpToDate>false</LinksUpToDate>
  <CharactersWithSpaces>5907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2023-08-23T03:10:00Z</dcterms:created>
  <dc:creator>曹颖</dc:creator>
  <cp:lastModifiedBy>白尚松</cp:lastModifiedBy>
  <cp:lastPrinted>2021-09-08T10:36:00Z</cp:lastPrinted>
  <dcterms:modified xsi:type="dcterms:W3CDTF">2023-09-08T03:32:55Z</dcterms:modified>
  <dc:title>四川省***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EB6F867CA050476DB23F3977FF435729_13</vt:lpwstr>
  </property>
</Properties>
</file>