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7193"/>
      <w:bookmarkStart w:id="4" w:name="_Toc1537742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96476"/>
      <w:bookmarkStart w:id="8" w:name="_Toc15378442"/>
      <w:bookmarkStart w:id="9" w:name="_Toc15377194"/>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退役军人事务厅</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机关单位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方正黑体简体" w:hAnsi="方正黑体简体" w:eastAsia="方正黑体简体" w:cs="方正黑体简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方正黑体简体" w:hAnsi="方正黑体简体" w:eastAsia="方正黑体简体" w:cs="方正黑体简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公开时间：20</w:t>
      </w:r>
      <w:r>
        <w:rPr>
          <w:rFonts w:hint="default" w:ascii="Times New Roman" w:hAnsi="Times New Roman" w:eastAsia="方正仿宋简体" w:cs="Times New Roman"/>
          <w:color w:val="auto"/>
          <w:sz w:val="28"/>
          <w:szCs w:val="28"/>
          <w:highlight w:val="none"/>
          <w:lang w:val="en-US" w:eastAsia="zh-CN"/>
        </w:rPr>
        <w:t>23</w:t>
      </w:r>
      <w:r>
        <w:rPr>
          <w:rFonts w:hint="default" w:ascii="Times New Roman" w:hAnsi="Times New Roman" w:eastAsia="方正仿宋简体" w:cs="Times New Roman"/>
          <w:color w:val="auto"/>
          <w:sz w:val="28"/>
          <w:szCs w:val="28"/>
          <w:highlight w:val="none"/>
        </w:rPr>
        <w:t>年</w:t>
      </w:r>
      <w:r>
        <w:rPr>
          <w:rFonts w:hint="default" w:ascii="Times New Roman" w:hAnsi="Times New Roman" w:eastAsia="方正仿宋简体" w:cs="Times New Roman"/>
          <w:color w:val="auto"/>
          <w:sz w:val="28"/>
          <w:szCs w:val="28"/>
          <w:highlight w:val="none"/>
          <w:lang w:val="en-US" w:eastAsia="zh-CN"/>
        </w:rPr>
        <w:t>9</w:t>
      </w:r>
      <w:r>
        <w:rPr>
          <w:rFonts w:hint="default" w:ascii="Times New Roman" w:hAnsi="Times New Roman" w:eastAsia="方正仿宋简体" w:cs="Times New Roman"/>
          <w:color w:val="auto"/>
          <w:sz w:val="28"/>
          <w:szCs w:val="28"/>
          <w:highlight w:val="none"/>
        </w:rPr>
        <w:t>月</w:t>
      </w: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rPr>
        <w:t>日</w:t>
      </w:r>
    </w:p>
    <w:p>
      <w:pPr>
        <w:rPr>
          <w:color w:val="auto"/>
          <w:highlight w:val="none"/>
        </w:rPr>
      </w:pP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 xml:space="preserve">第一部分 </w:t>
      </w:r>
      <w:r>
        <w:rPr>
          <w:rFonts w:hint="default" w:ascii="Times New Roman" w:hAnsi="Times New Roman" w:eastAsia="方正仿宋简体" w:cs="Times New Roman"/>
          <w:color w:val="auto"/>
          <w:sz w:val="30"/>
          <w:szCs w:val="30"/>
          <w:highlight w:val="none"/>
          <w:lang w:eastAsia="zh-CN"/>
        </w:rPr>
        <w:t>单位</w:t>
      </w:r>
      <w:r>
        <w:rPr>
          <w:rFonts w:hint="default" w:ascii="Times New Roman" w:hAnsi="Times New Roman" w:eastAsia="方正仿宋简体" w:cs="Times New Roman"/>
          <w:color w:val="auto"/>
          <w:sz w:val="30"/>
          <w:szCs w:val="30"/>
          <w:highlight w:val="none"/>
        </w:rPr>
        <w:t>概况</w:t>
      </w:r>
      <w:r>
        <w:rPr>
          <w:rFonts w:hint="default" w:ascii="Times New Roman" w:hAnsi="Times New Roman" w:eastAsia="方正仿宋简体" w:cs="Times New Roman"/>
          <w:color w:val="auto"/>
          <w:sz w:val="30"/>
          <w:szCs w:val="30"/>
          <w:highlight w:val="none"/>
          <w:lang w:val="en-US" w:eastAsia="zh-CN"/>
        </w:rPr>
        <w:t>.........................................</w:t>
      </w:r>
      <w:r>
        <w:rPr>
          <w:rFonts w:hint="eastAsia" w:ascii="Times New Roman" w:hAnsi="Times New Roman" w:eastAsia="方正仿宋简体" w:cs="Times New Roman"/>
          <w:color w:val="auto"/>
          <w:sz w:val="30"/>
          <w:szCs w:val="30"/>
          <w:highlight w:val="none"/>
          <w:lang w:val="en-US" w:eastAsia="zh-CN"/>
        </w:rPr>
        <w:t>.......................................1</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w:t>
      </w:r>
      <w:r>
        <w:rPr>
          <w:rFonts w:hint="default" w:ascii="Times New Roman" w:hAnsi="Times New Roman" w:eastAsia="方正仿宋简体" w:cs="Times New Roman"/>
          <w:color w:val="auto"/>
          <w:sz w:val="30"/>
          <w:szCs w:val="30"/>
          <w:highlight w:val="none"/>
          <w:lang w:eastAsia="zh-CN"/>
        </w:rPr>
        <w:t>主要职责</w:t>
      </w:r>
      <w:r>
        <w:rPr>
          <w:rFonts w:hint="eastAsia" w:eastAsia="方正仿宋简体" w:cs="Times New Roman"/>
          <w:color w:val="auto"/>
          <w:sz w:val="30"/>
          <w:szCs w:val="30"/>
          <w:highlight w:val="none"/>
          <w:lang w:val="en-US" w:eastAsia="zh-CN"/>
        </w:rPr>
        <w:t>.....................................................................................1</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highlight w:val="none"/>
          <w:lang w:eastAsia="zh-CN"/>
        </w:rPr>
        <w:t>二</w:t>
      </w:r>
      <w:r>
        <w:rPr>
          <w:rFonts w:hint="default" w:ascii="Times New Roman" w:hAnsi="Times New Roman" w:eastAsia="方正仿宋简体" w:cs="Times New Roman"/>
          <w:color w:val="auto"/>
          <w:sz w:val="30"/>
          <w:szCs w:val="30"/>
          <w:highlight w:val="none"/>
        </w:rPr>
        <w:t>、</w:t>
      </w:r>
      <w:r>
        <w:rPr>
          <w:rFonts w:hint="default" w:ascii="Times New Roman" w:hAnsi="Times New Roman" w:eastAsia="方正仿宋简体" w:cs="Times New Roman"/>
          <w:color w:val="auto"/>
          <w:sz w:val="30"/>
          <w:szCs w:val="30"/>
          <w:highlight w:val="none"/>
          <w:lang w:eastAsia="zh-CN"/>
        </w:rPr>
        <w:t>机构设置</w:t>
      </w:r>
      <w:r>
        <w:rPr>
          <w:rFonts w:hint="eastAsia" w:eastAsia="方正仿宋简体" w:cs="Times New Roman"/>
          <w:color w:val="auto"/>
          <w:sz w:val="30"/>
          <w:szCs w:val="30"/>
          <w:highlight w:val="none"/>
          <w:lang w:val="en-US" w:eastAsia="zh-CN"/>
        </w:rPr>
        <w:t>.....................................................................................1</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第二部分</w:t>
      </w:r>
      <w:r>
        <w:rPr>
          <w:rFonts w:hint="default" w:ascii="Times New Roman" w:hAnsi="Times New Roman" w:eastAsia="方正仿宋简体" w:cs="Times New Roman"/>
          <w:color w:val="auto"/>
          <w:sz w:val="30"/>
          <w:szCs w:val="30"/>
          <w:highlight w:val="none"/>
          <w:lang w:val="en-US" w:eastAsia="zh-CN"/>
        </w:rPr>
        <w:t xml:space="preserve"> 2022年度</w:t>
      </w:r>
      <w:r>
        <w:rPr>
          <w:rFonts w:hint="default" w:ascii="Times New Roman" w:hAnsi="Times New Roman" w:eastAsia="方正仿宋简体" w:cs="Times New Roman"/>
          <w:color w:val="auto"/>
          <w:sz w:val="30"/>
          <w:szCs w:val="30"/>
          <w:highlight w:val="none"/>
          <w:lang w:eastAsia="zh-CN"/>
        </w:rPr>
        <w:t>单位</w:t>
      </w:r>
      <w:r>
        <w:rPr>
          <w:rFonts w:hint="default" w:ascii="Times New Roman" w:hAnsi="Times New Roman" w:eastAsia="方正仿宋简体" w:cs="Times New Roman"/>
          <w:color w:val="auto"/>
          <w:sz w:val="30"/>
          <w:szCs w:val="30"/>
          <w:highlight w:val="none"/>
        </w:rPr>
        <w:t>决算情况说明</w:t>
      </w:r>
      <w:r>
        <w:rPr>
          <w:rFonts w:hint="eastAsia" w:ascii="Times New Roman" w:hAnsi="Times New Roman" w:eastAsia="方正仿宋简体" w:cs="Times New Roman"/>
          <w:color w:val="auto"/>
          <w:sz w:val="30"/>
          <w:szCs w:val="30"/>
          <w:highlight w:val="none"/>
          <w:lang w:val="en-US" w:eastAsia="zh-CN"/>
        </w:rPr>
        <w:t>...............................................2</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一、收入支出决算总体情况说明</w:t>
      </w:r>
      <w:r>
        <w:rPr>
          <w:rFonts w:hint="eastAsia" w:eastAsia="方正仿宋简体" w:cs="Times New Roman"/>
          <w:color w:val="auto"/>
          <w:sz w:val="30"/>
          <w:szCs w:val="30"/>
          <w:highlight w:val="none"/>
          <w:lang w:val="en-US" w:eastAsia="zh-CN"/>
        </w:rPr>
        <w:t>.....................................................2</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二、收入决算情况说明</w:t>
      </w:r>
      <w:r>
        <w:rPr>
          <w:rFonts w:hint="eastAsia" w:eastAsia="方正仿宋简体" w:cs="Times New Roman"/>
          <w:color w:val="auto"/>
          <w:sz w:val="30"/>
          <w:szCs w:val="30"/>
          <w:highlight w:val="none"/>
          <w:lang w:val="en-US" w:eastAsia="zh-CN"/>
        </w:rPr>
        <w:t>.....................................................................2</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三、支出决算情况说明</w:t>
      </w:r>
      <w:r>
        <w:rPr>
          <w:rFonts w:hint="eastAsia" w:eastAsia="方正仿宋简体" w:cs="Times New Roman"/>
          <w:color w:val="auto"/>
          <w:sz w:val="30"/>
          <w:szCs w:val="30"/>
          <w:highlight w:val="none"/>
          <w:lang w:val="en-US" w:eastAsia="zh-CN"/>
        </w:rPr>
        <w:t>.....................................................................3</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四、财政拨款收入支出决算总体情况说明</w:t>
      </w:r>
      <w:r>
        <w:rPr>
          <w:rFonts w:hint="eastAsia" w:eastAsia="方正仿宋简体" w:cs="Times New Roman"/>
          <w:color w:val="auto"/>
          <w:sz w:val="30"/>
          <w:szCs w:val="30"/>
          <w:highlight w:val="none"/>
          <w:lang w:val="en-US" w:eastAsia="zh-CN"/>
        </w:rPr>
        <w:t>.....................................3</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五、一般公共预算财政拨款支出决算情况说明</w:t>
      </w:r>
      <w:r>
        <w:rPr>
          <w:rFonts w:hint="eastAsia" w:eastAsia="方正仿宋简体" w:cs="Times New Roman"/>
          <w:color w:val="auto"/>
          <w:sz w:val="30"/>
          <w:szCs w:val="30"/>
          <w:highlight w:val="none"/>
          <w:lang w:val="en-US" w:eastAsia="zh-CN"/>
        </w:rPr>
        <w:t>.............................4</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六、一般公共预算财政拨款基本支出决算情况说明</w:t>
      </w:r>
      <w:r>
        <w:rPr>
          <w:rFonts w:hint="eastAsia" w:eastAsia="方正仿宋简体" w:cs="Times New Roman"/>
          <w:color w:val="auto"/>
          <w:sz w:val="30"/>
          <w:szCs w:val="30"/>
          <w:highlight w:val="none"/>
          <w:lang w:val="en-US" w:eastAsia="zh-CN"/>
        </w:rPr>
        <w:t>.....................8</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七、财政拨款</w:t>
      </w:r>
      <w:r>
        <w:rPr>
          <w:rFonts w:hint="default" w:ascii="Times New Roman" w:hAnsi="Times New Roman" w:eastAsia="方正仿宋简体" w:cs="Times New Roman"/>
          <w:color w:val="auto"/>
          <w:sz w:val="30"/>
          <w:szCs w:val="30"/>
          <w:highlight w:val="none"/>
          <w:lang w:eastAsia="zh-CN"/>
        </w:rPr>
        <w:t>“</w:t>
      </w:r>
      <w:r>
        <w:rPr>
          <w:rFonts w:hint="default" w:ascii="Times New Roman" w:hAnsi="Times New Roman" w:eastAsia="方正仿宋简体" w:cs="Times New Roman"/>
          <w:color w:val="auto"/>
          <w:sz w:val="30"/>
          <w:szCs w:val="30"/>
          <w:highlight w:val="none"/>
        </w:rPr>
        <w:t>三公”经费支出决算情况说明</w:t>
      </w:r>
      <w:r>
        <w:rPr>
          <w:rFonts w:hint="eastAsia" w:eastAsia="方正仿宋简体" w:cs="Times New Roman"/>
          <w:color w:val="auto"/>
          <w:sz w:val="30"/>
          <w:szCs w:val="30"/>
          <w:highlight w:val="none"/>
          <w:lang w:val="en-US" w:eastAsia="zh-CN"/>
        </w:rPr>
        <w:t>.................................9</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八、政府性基金预算支出决算情况说明</w:t>
      </w:r>
      <w:r>
        <w:rPr>
          <w:rFonts w:hint="eastAsia" w:eastAsia="方正仿宋简体" w:cs="Times New Roman"/>
          <w:color w:val="auto"/>
          <w:sz w:val="30"/>
          <w:szCs w:val="30"/>
          <w:highlight w:val="none"/>
          <w:lang w:val="en-US" w:eastAsia="zh-CN"/>
        </w:rPr>
        <w:t>........................................11</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九、国有资本经营预算支出决算情况说明</w:t>
      </w:r>
      <w:r>
        <w:rPr>
          <w:rFonts w:hint="eastAsia" w:eastAsia="方正仿宋简体" w:cs="Times New Roman"/>
          <w:color w:val="auto"/>
          <w:sz w:val="30"/>
          <w:szCs w:val="30"/>
          <w:highlight w:val="none"/>
          <w:lang w:val="en-US" w:eastAsia="zh-CN"/>
        </w:rPr>
        <w:t>.....................................11</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十、其他重要事项的情况说明</w:t>
      </w:r>
      <w:r>
        <w:rPr>
          <w:rFonts w:hint="eastAsia" w:eastAsia="方正仿宋简体" w:cs="Times New Roman"/>
          <w:color w:val="auto"/>
          <w:sz w:val="30"/>
          <w:szCs w:val="30"/>
          <w:highlight w:val="none"/>
          <w:lang w:val="en-US" w:eastAsia="zh-CN"/>
        </w:rPr>
        <w:t>........................................................11</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第三部分 名词解释</w:t>
      </w:r>
      <w:r>
        <w:rPr>
          <w:rFonts w:hint="eastAsia" w:ascii="Times New Roman" w:hAnsi="Times New Roman" w:eastAsia="方正仿宋简体" w:cs="Times New Roman"/>
          <w:color w:val="auto"/>
          <w:sz w:val="30"/>
          <w:szCs w:val="30"/>
          <w:highlight w:val="none"/>
          <w:lang w:val="en-US" w:eastAsia="zh-CN"/>
        </w:rPr>
        <w:t>...............................................................................13</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第四部分 附件</w:t>
      </w:r>
      <w:r>
        <w:rPr>
          <w:rFonts w:hint="eastAsia" w:ascii="Times New Roman" w:hAnsi="Times New Roman" w:eastAsia="方正仿宋简体" w:cs="Times New Roman"/>
          <w:color w:val="auto"/>
          <w:sz w:val="30"/>
          <w:szCs w:val="30"/>
          <w:highlight w:val="none"/>
          <w:lang w:val="en-US" w:eastAsia="zh-CN"/>
        </w:rPr>
        <w:t>.......................................................................................17</w:t>
      </w:r>
    </w:p>
    <w:p>
      <w:pPr>
        <w:pStyle w:val="10"/>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第五部分 附表</w:t>
      </w:r>
      <w:r>
        <w:rPr>
          <w:rFonts w:hint="eastAsia" w:ascii="Times New Roman" w:hAnsi="Times New Roman" w:eastAsia="方正仿宋简体" w:cs="Times New Roman"/>
          <w:color w:val="auto"/>
          <w:sz w:val="30"/>
          <w:szCs w:val="30"/>
          <w:highlight w:val="none"/>
          <w:lang w:val="en-US" w:eastAsia="zh-CN"/>
        </w:rPr>
        <w:t>.......................................................................................25</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一、收入支出决算总表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二、收入决算表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三、支出决算表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四、财政拨款收入支出决算总表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五、财政拨款支出决算明细表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六、一般公共预算财政拨款支出决算表</w:t>
      </w:r>
      <w:r>
        <w:rPr>
          <w:rFonts w:hint="eastAsia" w:eastAsia="方正仿宋简体" w:cs="Times New Roman"/>
          <w:color w:val="auto"/>
          <w:sz w:val="30"/>
          <w:szCs w:val="30"/>
          <w:highlight w:val="none"/>
          <w:lang w:val="en-US" w:eastAsia="zh-CN"/>
        </w:rPr>
        <w:t>........................................25</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rPr>
        <w:t>七、一般公共预算财政拨款支出决算明细表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八、一般公共预算财政拨款基本支出决算</w:t>
      </w:r>
      <w:r>
        <w:rPr>
          <w:rFonts w:hint="default" w:ascii="Times New Roman" w:hAnsi="Times New Roman" w:eastAsia="方正仿宋简体" w:cs="Times New Roman"/>
          <w:color w:val="auto"/>
          <w:sz w:val="30"/>
          <w:szCs w:val="30"/>
          <w:highlight w:val="none"/>
          <w:lang w:eastAsia="zh-CN"/>
        </w:rPr>
        <w:t>明细</w:t>
      </w:r>
      <w:r>
        <w:rPr>
          <w:rFonts w:hint="default" w:ascii="Times New Roman" w:hAnsi="Times New Roman" w:eastAsia="方正仿宋简体" w:cs="Times New Roman"/>
          <w:color w:val="auto"/>
          <w:sz w:val="30"/>
          <w:szCs w:val="30"/>
          <w:highlight w:val="none"/>
        </w:rPr>
        <w:t>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九、一般公共预算财政拨款项目支出决算表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十、政府性基金预算财政拨款收入支出决算表</w:t>
      </w:r>
      <w:r>
        <w:rPr>
          <w:rFonts w:hint="eastAsia" w:eastAsia="方正仿宋简体" w:cs="Times New Roman"/>
          <w:color w:val="auto"/>
          <w:sz w:val="30"/>
          <w:szCs w:val="30"/>
          <w:highlight w:val="none"/>
          <w:lang w:val="en-US" w:eastAsia="zh-CN"/>
        </w:rPr>
        <w:t>............................25</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简体" w:cs="Times New Roman"/>
          <w:color w:val="auto"/>
          <w:sz w:val="30"/>
          <w:szCs w:val="30"/>
          <w:highlight w:val="none"/>
          <w:lang w:val="en-US"/>
        </w:rPr>
      </w:pPr>
      <w:r>
        <w:rPr>
          <w:rFonts w:hint="default" w:ascii="Times New Roman" w:hAnsi="Times New Roman" w:eastAsia="方正仿宋简体" w:cs="Times New Roman"/>
          <w:color w:val="auto"/>
          <w:sz w:val="30"/>
          <w:szCs w:val="30"/>
          <w:highlight w:val="none"/>
        </w:rPr>
        <w:t>十一、国有资本经营预算财政拨款收入支出决算表</w:t>
      </w:r>
      <w:r>
        <w:rPr>
          <w:rFonts w:hint="eastAsia" w:eastAsia="方正仿宋简体" w:cs="Times New Roman"/>
          <w:color w:val="auto"/>
          <w:sz w:val="30"/>
          <w:szCs w:val="30"/>
          <w:highlight w:val="none"/>
          <w:lang w:val="en-US" w:eastAsia="zh-CN"/>
        </w:rPr>
        <w:t>....................25</w:t>
      </w:r>
      <w:r>
        <w:rPr>
          <w:rFonts w:hint="default" w:ascii="Times New Roman" w:hAnsi="Times New Roman" w:eastAsia="方正仿宋简体" w:cs="Times New Roman"/>
          <w:color w:val="auto"/>
          <w:sz w:val="30"/>
          <w:szCs w:val="30"/>
          <w:highlight w:val="none"/>
        </w:rPr>
        <w:t>十二、</w:t>
      </w:r>
      <w:r>
        <w:rPr>
          <w:rFonts w:hint="default" w:ascii="Times New Roman" w:hAnsi="Times New Roman" w:eastAsia="方正仿宋简体" w:cs="Times New Roman"/>
          <w:color w:val="auto"/>
          <w:sz w:val="30"/>
          <w:szCs w:val="30"/>
          <w:highlight w:val="none"/>
          <w:lang w:val="en-US" w:eastAsia="zh-CN"/>
        </w:rPr>
        <w:t>国有资本经营预算财政拨款支出决算表</w:t>
      </w:r>
      <w:r>
        <w:rPr>
          <w:rFonts w:hint="eastAsia" w:eastAsia="方正仿宋简体" w:cs="Times New Roman"/>
          <w:color w:val="auto"/>
          <w:sz w:val="30"/>
          <w:szCs w:val="30"/>
          <w:highlight w:val="none"/>
          <w:lang w:val="en-US" w:eastAsia="zh-CN"/>
        </w:rPr>
        <w:t>............................25</w:t>
      </w:r>
    </w:p>
    <w:p>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default" w:ascii="方正黑体简体" w:hAnsi="方正黑体简体" w:eastAsia="方正黑体简体" w:cs="方正黑体简体"/>
          <w:b w:val="0"/>
          <w:color w:val="auto"/>
          <w:highlight w:val="none"/>
          <w:lang w:val="en-US"/>
        </w:rPr>
        <w:sectPr>
          <w:headerReference r:id="rId4" w:type="first"/>
          <w:footerReference r:id="rId6" w:type="first"/>
          <w:headerReference r:id="rId3" w:type="default"/>
          <w:footerReference r:id="rId5" w:type="even"/>
          <w:pgSz w:w="11906" w:h="16838"/>
          <w:pgMar w:top="2098" w:right="1474" w:bottom="1984" w:left="1587" w:header="851" w:footer="992" w:gutter="0"/>
          <w:pgNumType w:fmt="numberInDash" w:start="16"/>
          <w:cols w:space="425" w:num="1"/>
          <w:docGrid w:type="lines" w:linePitch="435" w:charSpace="0"/>
        </w:sectPr>
      </w:pPr>
      <w:r>
        <w:rPr>
          <w:rFonts w:hint="default" w:ascii="Times New Roman" w:hAnsi="Times New Roman" w:eastAsia="方正仿宋简体" w:cs="Times New Roman"/>
          <w:color w:val="auto"/>
          <w:sz w:val="30"/>
          <w:szCs w:val="30"/>
          <w:highlight w:val="none"/>
        </w:rPr>
        <w:t>十三、财政拨款“三公”经费支出决算表</w:t>
      </w:r>
      <w:r>
        <w:rPr>
          <w:rFonts w:hint="eastAsia" w:eastAsia="方正仿宋简体" w:cs="Times New Roman"/>
          <w:color w:val="auto"/>
          <w:sz w:val="30"/>
          <w:szCs w:val="30"/>
          <w:highlight w:val="none"/>
          <w:lang w:val="en-US" w:eastAsia="zh-CN"/>
        </w:rPr>
        <w:t>..........................................</w:t>
      </w:r>
      <w:bookmarkStart w:id="12" w:name="_Toc15396599"/>
      <w:bookmarkStart w:id="13" w:name="_Toc15377196"/>
      <w:r>
        <w:rPr>
          <w:rFonts w:hint="eastAsia" w:eastAsia="方正仿宋简体" w:cs="Times New Roman"/>
          <w:color w:val="auto"/>
          <w:sz w:val="30"/>
          <w:szCs w:val="30"/>
          <w:highlight w:val="none"/>
          <w:lang w:val="en-US" w:eastAsia="zh-CN"/>
        </w:rPr>
        <w:t>25</w:t>
      </w:r>
    </w:p>
    <w:p>
      <w:pPr>
        <w:pStyle w:val="2"/>
        <w:jc w:val="center"/>
        <w:rPr>
          <w:rStyle w:val="16"/>
          <w:rFonts w:hint="eastAsia" w:ascii="方正黑体简体" w:hAnsi="方正黑体简体" w:eastAsia="方正黑体简体" w:cs="方正黑体简体"/>
          <w:b/>
          <w:bCs w:val="0"/>
          <w:color w:val="auto"/>
          <w:highlight w:val="none"/>
        </w:rPr>
      </w:pPr>
      <w:r>
        <w:rPr>
          <w:rFonts w:hint="eastAsia" w:ascii="方正黑体简体" w:hAnsi="方正黑体简体" w:eastAsia="方正黑体简体" w:cs="方正黑体简体"/>
          <w:b w:val="0"/>
          <w:color w:val="auto"/>
          <w:highlight w:val="none"/>
        </w:rPr>
        <w:t xml:space="preserve">第一部分 </w:t>
      </w:r>
      <w:r>
        <w:rPr>
          <w:rFonts w:hint="eastAsia" w:ascii="方正黑体简体" w:hAnsi="方正黑体简体" w:eastAsia="方正黑体简体" w:cs="方正黑体简体"/>
          <w:b w:val="0"/>
          <w:color w:val="auto"/>
          <w:highlight w:val="none"/>
          <w:lang w:eastAsia="zh-CN"/>
        </w:rPr>
        <w:t>单位</w:t>
      </w:r>
      <w:r>
        <w:rPr>
          <w:rStyle w:val="16"/>
          <w:rFonts w:hint="eastAsia" w:ascii="方正黑体简体" w:hAnsi="方正黑体简体" w:eastAsia="方正黑体简体" w:cs="方正黑体简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pageBreakBefore w:val="0"/>
        <w:numPr>
          <w:ilvl w:val="0"/>
          <w:numId w:val="0"/>
        </w:numPr>
        <w:kinsoku/>
        <w:wordWrap/>
        <w:overflowPunct/>
        <w:topLinePunct w:val="0"/>
        <w:autoSpaceDE/>
        <w:autoSpaceDN/>
        <w:bidi w:val="0"/>
        <w:spacing w:line="600" w:lineRule="exact"/>
        <w:ind w:firstLine="640" w:firstLineChars="200"/>
        <w:textAlignment w:val="auto"/>
        <w:rPr>
          <w:rStyle w:val="25"/>
          <w:rFonts w:hint="eastAsia" w:ascii="方正黑体简体" w:hAnsi="方正黑体简体" w:eastAsia="方正黑体简体" w:cs="方正黑体简体"/>
          <w:b w:val="0"/>
          <w:bCs w:val="0"/>
          <w:color w:val="auto"/>
          <w:highlight w:val="none"/>
          <w:lang w:eastAsia="zh-CN"/>
        </w:rPr>
      </w:pPr>
      <w:bookmarkStart w:id="14" w:name="_Toc15377197"/>
      <w:bookmarkStart w:id="15" w:name="_Toc15396600"/>
      <w:r>
        <w:rPr>
          <w:rStyle w:val="25"/>
          <w:rFonts w:hint="eastAsia" w:ascii="方正黑体简体" w:hAnsi="方正黑体简体" w:eastAsia="方正黑体简体" w:cs="方正黑体简体"/>
          <w:b w:val="0"/>
          <w:bCs w:val="0"/>
          <w:color w:val="auto"/>
          <w:highlight w:val="none"/>
          <w:lang w:eastAsia="zh-CN"/>
        </w:rPr>
        <w:t>一、主要职责</w:t>
      </w:r>
    </w:p>
    <w:p>
      <w:pPr>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落实国家有关退役军人思想政治、管理保障和安置优抚等工作政策法规，褒扬彰显退役军人为党、国家和人民牺牲奉献的精神风范和价值导向；负责军队转业干部、复员干部、离休退休干部、退役士兵和无军籍退休退职职工的移交安置和自主择业、</w:t>
      </w:r>
      <w:r>
        <w:rPr>
          <w:rFonts w:hint="eastAsia" w:eastAsia="方正仿宋简体" w:cs="Times New Roman"/>
          <w:sz w:val="32"/>
          <w:szCs w:val="32"/>
          <w:lang w:eastAsia="zh-CN"/>
        </w:rPr>
        <w:t>自主</w:t>
      </w:r>
      <w:r>
        <w:rPr>
          <w:rFonts w:hint="default" w:ascii="Times New Roman" w:hAnsi="Times New Roman" w:eastAsia="方正仿宋简体" w:cs="Times New Roman"/>
          <w:sz w:val="32"/>
          <w:szCs w:val="32"/>
        </w:rPr>
        <w:t>就业退役军人服务管理工作；组织、指导退役军人教育培训、就业创业、优待抚恤、帮扶援助等工作；指导全省拥军优属工作；负责烈士及退役军人荣誉奖励、军人公墓和烈士纪念设施的建设管理、纪念活动等工作。</w:t>
      </w:r>
    </w:p>
    <w:p>
      <w:pPr>
        <w:pageBreakBefore w:val="0"/>
        <w:numPr>
          <w:ilvl w:val="0"/>
          <w:numId w:val="1"/>
        </w:numPr>
        <w:kinsoku/>
        <w:wordWrap/>
        <w:overflowPunct/>
        <w:topLinePunct w:val="0"/>
        <w:autoSpaceDE/>
        <w:autoSpaceDN/>
        <w:bidi w:val="0"/>
        <w:spacing w:line="600" w:lineRule="exact"/>
        <w:ind w:firstLine="640" w:firstLineChars="200"/>
        <w:jc w:val="left"/>
        <w:textAlignment w:val="auto"/>
        <w:rPr>
          <w:rStyle w:val="25"/>
          <w:rFonts w:hint="eastAsia" w:ascii="方正黑体简体" w:hAnsi="方正黑体简体" w:eastAsia="方正黑体简体" w:cs="方正黑体简体"/>
          <w:b w:val="0"/>
          <w:bCs w:val="0"/>
          <w:color w:val="auto"/>
          <w:highlight w:val="none"/>
          <w:lang w:val="en-US" w:eastAsia="zh-CN"/>
        </w:rPr>
      </w:pPr>
      <w:r>
        <w:rPr>
          <w:rStyle w:val="25"/>
          <w:rFonts w:hint="eastAsia" w:ascii="方正黑体简体" w:hAnsi="方正黑体简体" w:eastAsia="方正黑体简体" w:cs="方正黑体简体"/>
          <w:b w:val="0"/>
          <w:bCs w:val="0"/>
          <w:color w:val="auto"/>
          <w:highlight w:val="none"/>
          <w:lang w:val="en-US" w:eastAsia="zh-CN"/>
        </w:rPr>
        <w:t>机构设置</w:t>
      </w:r>
    </w:p>
    <w:p>
      <w:pPr>
        <w:pageBreakBefore w:val="0"/>
        <w:kinsoku/>
        <w:wordWrap/>
        <w:overflowPunct/>
        <w:topLinePunct w:val="0"/>
        <w:autoSpaceDE/>
        <w:autoSpaceDN/>
        <w:bidi w:val="0"/>
        <w:spacing w:line="600" w:lineRule="exact"/>
        <w:ind w:firstLine="640" w:firstLineChars="200"/>
        <w:jc w:val="left"/>
        <w:textAlignment w:val="auto"/>
        <w:rPr>
          <w:rFonts w:hint="eastAsia" w:eastAsia="方正仿宋简体" w:cs="Times New Roman"/>
          <w:sz w:val="32"/>
          <w:szCs w:val="32"/>
          <w:lang w:val="zh-CN" w:eastAsia="zh-Hans"/>
        </w:rPr>
      </w:pPr>
      <w:r>
        <w:rPr>
          <w:rFonts w:hint="default" w:ascii="Times New Roman" w:hAnsi="Times New Roman" w:eastAsia="方正仿宋简体" w:cs="Times New Roman"/>
          <w:sz w:val="32"/>
          <w:szCs w:val="32"/>
          <w:lang w:val="zh-CN" w:eastAsia="zh-Hans"/>
        </w:rPr>
        <w:t>机关内设办公室、权益维护与政策法规处、移交安置处、就业创业处、拥军优抚处、褒扬纪念处、思想政治与党建工作处、规划财务处、应急与信访工作处、机关党委（人</w:t>
      </w:r>
      <w:r>
        <w:rPr>
          <w:rFonts w:hint="eastAsia" w:eastAsia="方正仿宋简体" w:cs="Times New Roman"/>
          <w:sz w:val="32"/>
          <w:szCs w:val="32"/>
          <w:lang w:val="zh-CN" w:eastAsia="zh-Hans"/>
        </w:rPr>
        <w:t>事处）。</w:t>
      </w:r>
    </w:p>
    <w:p>
      <w:pPr>
        <w:pageBreakBefore w:val="0"/>
        <w:kinsoku/>
        <w:wordWrap/>
        <w:overflowPunct/>
        <w:topLinePunct w:val="0"/>
        <w:autoSpaceDE/>
        <w:autoSpaceDN/>
        <w:bidi w:val="0"/>
        <w:spacing w:line="600" w:lineRule="exact"/>
        <w:ind w:firstLine="640" w:firstLineChars="200"/>
        <w:jc w:val="left"/>
        <w:textAlignment w:val="auto"/>
        <w:rPr>
          <w:rFonts w:hint="eastAsia" w:eastAsia="方正仿宋简体" w:cs="Times New Roman"/>
          <w:sz w:val="32"/>
          <w:szCs w:val="32"/>
          <w:lang w:val="zh-CN" w:eastAsia="zh-Hans"/>
        </w:rPr>
      </w:pPr>
    </w:p>
    <w:p>
      <w:pPr>
        <w:pageBreakBefore w:val="0"/>
        <w:kinsoku/>
        <w:wordWrap/>
        <w:overflowPunct/>
        <w:topLinePunct w:val="0"/>
        <w:autoSpaceDE/>
        <w:autoSpaceDN/>
        <w:bidi w:val="0"/>
        <w:spacing w:line="600" w:lineRule="exact"/>
        <w:jc w:val="left"/>
        <w:textAlignment w:val="auto"/>
        <w:rPr>
          <w:rFonts w:hint="eastAsia" w:eastAsia="方正仿宋简体" w:cs="Times New Roman"/>
          <w:sz w:val="32"/>
          <w:szCs w:val="32"/>
          <w:lang w:val="zh-CN" w:eastAsia="zh-Hans"/>
        </w:rPr>
      </w:pPr>
    </w:p>
    <w:p>
      <w:pPr>
        <w:pageBreakBefore w:val="0"/>
        <w:kinsoku/>
        <w:wordWrap/>
        <w:overflowPunct/>
        <w:topLinePunct w:val="0"/>
        <w:autoSpaceDE/>
        <w:autoSpaceDN/>
        <w:bidi w:val="0"/>
        <w:spacing w:line="600" w:lineRule="exact"/>
        <w:jc w:val="left"/>
        <w:textAlignment w:val="auto"/>
        <w:rPr>
          <w:rFonts w:hint="default" w:eastAsia="方正仿宋简体" w:cs="Times New Roman"/>
          <w:sz w:val="32"/>
          <w:szCs w:val="32"/>
          <w:lang w:val="zh-CN" w:eastAsia="zh-Hans"/>
        </w:rPr>
        <w:sectPr>
          <w:footerReference r:id="rId7" w:type="default"/>
          <w:pgSz w:w="11906" w:h="16838"/>
          <w:pgMar w:top="2098" w:right="1474" w:bottom="1984" w:left="1587" w:header="851" w:footer="992" w:gutter="0"/>
          <w:pgNumType w:fmt="numberInDash" w:start="1"/>
          <w:cols w:space="425" w:num="1"/>
          <w:docGrid w:type="lines" w:linePitch="435" w:charSpace="0"/>
        </w:sectPr>
      </w:pPr>
    </w:p>
    <w:bookmarkEnd w:id="14"/>
    <w:bookmarkEnd w:id="15"/>
    <w:p>
      <w:pPr>
        <w:pStyle w:val="2"/>
        <w:pageBreakBefore w:val="0"/>
        <w:kinsoku/>
        <w:wordWrap/>
        <w:overflowPunct/>
        <w:topLinePunct w:val="0"/>
        <w:bidi w:val="0"/>
        <w:snapToGrid/>
        <w:spacing w:line="600" w:lineRule="exact"/>
        <w:ind w:right="440"/>
        <w:jc w:val="center"/>
        <w:textAlignment w:val="auto"/>
        <w:rPr>
          <w:rStyle w:val="16"/>
          <w:rFonts w:hint="default" w:ascii="Times New Roman" w:hAnsi="Times New Roman" w:eastAsia="方正黑体简体" w:cs="Times New Roman"/>
          <w:b w:val="0"/>
          <w:bCs/>
          <w:color w:val="auto"/>
          <w:highlight w:val="none"/>
        </w:rPr>
      </w:pPr>
      <w:bookmarkStart w:id="16" w:name="_Toc15377204"/>
      <w:bookmarkStart w:id="17" w:name="_Toc15396602"/>
      <w:r>
        <w:rPr>
          <w:rFonts w:hint="default" w:ascii="Times New Roman" w:hAnsi="Times New Roman" w:eastAsia="方正黑体简体" w:cs="Times New Roman"/>
          <w:b w:val="0"/>
          <w:bCs/>
          <w:color w:val="auto"/>
          <w:highlight w:val="none"/>
        </w:rPr>
        <w:t xml:space="preserve">第二部分 </w:t>
      </w:r>
      <w:r>
        <w:rPr>
          <w:rFonts w:hint="default" w:ascii="Times New Roman" w:hAnsi="Times New Roman" w:eastAsia="方正黑体简体" w:cs="Times New Roman"/>
          <w:b w:val="0"/>
          <w:bCs/>
          <w:color w:val="auto"/>
          <w:highlight w:val="none"/>
          <w:lang w:val="en-US" w:eastAsia="zh-CN"/>
        </w:rPr>
        <w:t>2022年度</w:t>
      </w:r>
      <w:r>
        <w:rPr>
          <w:rStyle w:val="16"/>
          <w:rFonts w:hint="default" w:ascii="Times New Roman" w:hAnsi="Times New Roman" w:eastAsia="方正黑体简体" w:cs="Times New Roman"/>
          <w:b w:val="0"/>
          <w:bCs/>
          <w:color w:val="auto"/>
          <w:highlight w:val="none"/>
          <w:lang w:eastAsia="zh-CN"/>
        </w:rPr>
        <w:t>单位</w:t>
      </w:r>
      <w:r>
        <w:rPr>
          <w:rStyle w:val="16"/>
          <w:rFonts w:hint="default" w:ascii="Times New Roman" w:hAnsi="Times New Roman" w:eastAsia="方正黑体简体" w:cs="Times New Roman"/>
          <w:b w:val="0"/>
          <w:bCs/>
          <w:color w:val="auto"/>
          <w:highlight w:val="none"/>
        </w:rPr>
        <w:t>决算情况说明</w:t>
      </w:r>
      <w:bookmarkEnd w:id="16"/>
      <w:bookmarkEnd w:id="17"/>
    </w:p>
    <w:p>
      <w:pPr>
        <w:pageBreakBefore w:val="0"/>
        <w:kinsoku/>
        <w:wordWrap/>
        <w:overflowPunct/>
        <w:topLinePunct w:val="0"/>
        <w:bidi w:val="0"/>
        <w:snapToGrid/>
        <w:spacing w:line="600" w:lineRule="exact"/>
        <w:textAlignment w:val="auto"/>
        <w:rPr>
          <w:color w:val="auto"/>
          <w:highlight w:val="none"/>
        </w:rPr>
      </w:pPr>
    </w:p>
    <w:p>
      <w:pPr>
        <w:pStyle w:val="24"/>
        <w:pageBreakBefore w:val="0"/>
        <w:numPr>
          <w:ilvl w:val="0"/>
          <w:numId w:val="2"/>
        </w:numPr>
        <w:kinsoku/>
        <w:wordWrap/>
        <w:overflowPunct/>
        <w:topLinePunct w:val="0"/>
        <w:bidi w:val="0"/>
        <w:snapToGrid/>
        <w:spacing w:line="600" w:lineRule="exact"/>
        <w:ind w:firstLineChars="0"/>
        <w:textAlignment w:val="auto"/>
        <w:outlineLvl w:val="1"/>
        <w:rPr>
          <w:rStyle w:val="25"/>
          <w:rFonts w:hint="default" w:ascii="Times New Roman" w:hAnsi="Times New Roman" w:eastAsia="方正黑体简体" w:cs="Times New Roman"/>
          <w:b w:val="0"/>
          <w:color w:val="auto"/>
          <w:highlight w:val="none"/>
        </w:rPr>
      </w:pPr>
      <w:bookmarkStart w:id="18" w:name="_Toc15396603"/>
      <w:bookmarkStart w:id="19" w:name="_Toc15377205"/>
      <w:r>
        <w:rPr>
          <w:rFonts w:hint="default" w:ascii="Times New Roman" w:hAnsi="Times New Roman" w:eastAsia="方正黑体简体" w:cs="Times New Roman"/>
          <w:color w:val="auto"/>
          <w:sz w:val="32"/>
          <w:szCs w:val="32"/>
          <w:highlight w:val="none"/>
        </w:rPr>
        <w:t>收</w:t>
      </w:r>
      <w:r>
        <w:rPr>
          <w:rStyle w:val="25"/>
          <w:rFonts w:hint="default" w:ascii="Times New Roman" w:hAnsi="Times New Roman" w:eastAsia="方正黑体简体" w:cs="Times New Roman"/>
          <w:b w:val="0"/>
          <w:color w:val="auto"/>
          <w:highlight w:val="none"/>
        </w:rPr>
        <w:t>入支出决算总体情况说明</w:t>
      </w:r>
      <w:bookmarkEnd w:id="18"/>
      <w:bookmarkEnd w:id="19"/>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年度收、支总计</w:t>
      </w:r>
      <w:r>
        <w:rPr>
          <w:rFonts w:hint="eastAsia" w:eastAsia="方正仿宋简体" w:cs="Times New Roman"/>
          <w:color w:val="auto"/>
          <w:sz w:val="32"/>
          <w:szCs w:val="32"/>
          <w:highlight w:val="none"/>
          <w:lang w:eastAsia="zh-CN"/>
        </w:rPr>
        <w:t>各</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default" w:ascii="Times New Roman" w:hAnsi="Times New Roman" w:eastAsia="方正仿宋简体" w:cs="Times New Roman"/>
          <w:color w:val="auto"/>
          <w:sz w:val="32"/>
          <w:szCs w:val="32"/>
          <w:highlight w:val="none"/>
        </w:rPr>
        <w:t>万元。与20</w:t>
      </w:r>
      <w:r>
        <w:rPr>
          <w:rFonts w:hint="default" w:ascii="Times New Roman" w:hAnsi="Times New Roman" w:eastAsia="方正仿宋简体" w:cs="Times New Roman"/>
          <w:color w:val="auto"/>
          <w:sz w:val="32"/>
          <w:szCs w:val="32"/>
          <w:highlight w:val="none"/>
          <w:lang w:val="en-US" w:eastAsia="zh-CN"/>
        </w:rPr>
        <w:t>21</w:t>
      </w:r>
      <w:r>
        <w:rPr>
          <w:rFonts w:hint="default" w:ascii="Times New Roman" w:hAnsi="Times New Roman" w:eastAsia="方正仿宋简体" w:cs="Times New Roman"/>
          <w:color w:val="auto"/>
          <w:sz w:val="32"/>
          <w:szCs w:val="32"/>
          <w:highlight w:val="none"/>
        </w:rPr>
        <w:t>年相比，收、支总计各减少</w:t>
      </w:r>
      <w:r>
        <w:rPr>
          <w:rFonts w:hint="default" w:ascii="Times New Roman" w:hAnsi="Times New Roman" w:eastAsia="方正仿宋简体" w:cs="Times New Roman"/>
          <w:color w:val="auto"/>
          <w:sz w:val="32"/>
          <w:szCs w:val="32"/>
          <w:highlight w:val="none"/>
          <w:lang w:val="en-US" w:eastAsia="zh-CN"/>
        </w:rPr>
        <w:t>74.96</w:t>
      </w:r>
      <w:r>
        <w:rPr>
          <w:rFonts w:hint="default" w:ascii="Times New Roman" w:hAnsi="Times New Roman" w:eastAsia="方正仿宋简体" w:cs="Times New Roman"/>
          <w:color w:val="auto"/>
          <w:sz w:val="32"/>
          <w:szCs w:val="32"/>
          <w:highlight w:val="none"/>
        </w:rPr>
        <w:t>万元，下降</w:t>
      </w:r>
      <w:r>
        <w:rPr>
          <w:rFonts w:hint="default" w:ascii="Times New Roman" w:hAnsi="Times New Roman" w:eastAsia="方正仿宋简体" w:cs="Times New Roman"/>
          <w:color w:val="auto"/>
          <w:sz w:val="32"/>
          <w:szCs w:val="32"/>
          <w:highlight w:val="none"/>
          <w:lang w:val="en-US" w:eastAsia="zh-CN"/>
        </w:rPr>
        <w:t>1.16</w:t>
      </w:r>
      <w:r>
        <w:rPr>
          <w:rFonts w:hint="default" w:ascii="Times New Roman" w:hAnsi="Times New Roman" w:eastAsia="方正仿宋简体" w:cs="Times New Roman"/>
          <w:color w:val="auto"/>
          <w:sz w:val="32"/>
          <w:szCs w:val="32"/>
          <w:highlight w:val="none"/>
        </w:rPr>
        <w:t>%。主要变动原因是</w:t>
      </w:r>
      <w:r>
        <w:rPr>
          <w:rFonts w:hint="eastAsia" w:eastAsia="方正仿宋简体" w:cs="Times New Roman"/>
          <w:color w:val="auto"/>
          <w:sz w:val="32"/>
          <w:szCs w:val="32"/>
          <w:highlight w:val="none"/>
          <w:lang w:eastAsia="zh-CN"/>
        </w:rPr>
        <w:t>其他收入</w:t>
      </w:r>
      <w:r>
        <w:rPr>
          <w:rFonts w:hint="default" w:ascii="Times New Roman" w:hAnsi="Times New Roman" w:eastAsia="方正仿宋简体" w:cs="Times New Roman"/>
          <w:color w:val="auto"/>
          <w:sz w:val="32"/>
          <w:szCs w:val="32"/>
          <w:highlight w:val="none"/>
          <w:lang w:eastAsia="zh-CN"/>
        </w:rPr>
        <w:t>减少</w:t>
      </w:r>
      <w:r>
        <w:rPr>
          <w:rFonts w:hint="eastAsia" w:eastAsia="方正仿宋简体" w:cs="Times New Roman"/>
          <w:color w:val="auto"/>
          <w:sz w:val="32"/>
          <w:szCs w:val="32"/>
          <w:highlight w:val="none"/>
          <w:lang w:eastAsia="zh-CN"/>
        </w:rPr>
        <w:t>，对应安排的专项支出减少</w:t>
      </w:r>
      <w:r>
        <w:rPr>
          <w:rFonts w:hint="default" w:ascii="Times New Roman" w:hAnsi="Times New Roman" w:eastAsia="方正仿宋简体" w:cs="Times New Roman"/>
          <w:color w:val="auto"/>
          <w:sz w:val="32"/>
          <w:szCs w:val="32"/>
          <w:highlight w:val="none"/>
          <w:lang w:eastAsia="zh-CN"/>
        </w:rPr>
        <w:t>。</w:t>
      </w:r>
    </w:p>
    <w:p>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0288" behindDoc="1" locked="0" layoutInCell="1" allowOverlap="1">
            <wp:simplePos x="0" y="0"/>
            <wp:positionH relativeFrom="column">
              <wp:posOffset>66040</wp:posOffset>
            </wp:positionH>
            <wp:positionV relativeFrom="paragraph">
              <wp:posOffset>80645</wp:posOffset>
            </wp:positionV>
            <wp:extent cx="5222875" cy="2607945"/>
            <wp:effectExtent l="4445" t="4445" r="11430" b="1651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600" w:lineRule="exact"/>
        <w:ind w:firstLine="640" w:firstLineChars="200"/>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00" w:firstLineChars="20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00" w:firstLineChars="200"/>
        <w:jc w:val="center"/>
        <w:textAlignment w:val="auto"/>
        <w:rPr>
          <w:rFonts w:ascii="仿宋_GB2312" w:eastAsia="仿宋_GB2312"/>
          <w:color w:val="auto"/>
          <w:sz w:val="32"/>
          <w:szCs w:val="32"/>
          <w:highlight w:val="none"/>
        </w:rPr>
      </w:pPr>
      <w:r>
        <w:rPr>
          <w:rFonts w:hint="default" w:ascii="Times New Roman" w:hAnsi="Times New Roman" w:eastAsia="方正仿宋简体" w:cs="Times New Roman"/>
          <w:color w:val="auto"/>
          <w:sz w:val="30"/>
          <w:szCs w:val="30"/>
          <w:highlight w:val="none"/>
        </w:rPr>
        <w:t>图1：收、支决算总计变动情况图</w:t>
      </w:r>
    </w:p>
    <w:p>
      <w:pPr>
        <w:pStyle w:val="24"/>
        <w:pageBreakBefore w:val="0"/>
        <w:numPr>
          <w:ilvl w:val="0"/>
          <w:numId w:val="2"/>
        </w:numPr>
        <w:kinsoku/>
        <w:wordWrap/>
        <w:overflowPunct/>
        <w:topLinePunct w:val="0"/>
        <w:bidi w:val="0"/>
        <w:snapToGrid/>
        <w:spacing w:line="600" w:lineRule="exact"/>
        <w:ind w:firstLineChars="0"/>
        <w:textAlignment w:val="auto"/>
        <w:outlineLvl w:val="1"/>
        <w:rPr>
          <w:rStyle w:val="25"/>
          <w:rFonts w:hint="default" w:ascii="Times New Roman" w:hAnsi="Times New Roman" w:eastAsia="方正黑体简体" w:cs="Times New Roman"/>
          <w:b w:val="0"/>
          <w:color w:val="auto"/>
          <w:highlight w:val="none"/>
        </w:rPr>
      </w:pPr>
      <w:bookmarkStart w:id="20" w:name="_Toc15377206"/>
      <w:bookmarkStart w:id="21" w:name="_Toc15396604"/>
      <w:r>
        <w:rPr>
          <w:rFonts w:hint="default" w:ascii="Times New Roman" w:hAnsi="Times New Roman" w:eastAsia="方正黑体简体" w:cs="Times New Roman"/>
          <w:color w:val="auto"/>
          <w:sz w:val="32"/>
          <w:szCs w:val="32"/>
          <w:highlight w:val="none"/>
        </w:rPr>
        <w:t>收</w:t>
      </w:r>
      <w:r>
        <w:rPr>
          <w:rStyle w:val="25"/>
          <w:rFonts w:hint="default" w:ascii="Times New Roman" w:hAnsi="Times New Roman" w:eastAsia="方正黑体简体" w:cs="Times New Roman"/>
          <w:b w:val="0"/>
          <w:color w:val="auto"/>
          <w:highlight w:val="none"/>
        </w:rPr>
        <w:t>入决算情况说明</w:t>
      </w:r>
      <w:bookmarkEnd w:id="20"/>
      <w:bookmarkEnd w:id="21"/>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22</w:t>
      </w:r>
      <w:r>
        <w:rPr>
          <w:rFonts w:hint="eastAsia" w:ascii="Times New Roman" w:hAnsi="Times New Roman" w:eastAsia="方正仿宋简体" w:cs="Times New Roman"/>
          <w:color w:val="auto"/>
          <w:sz w:val="32"/>
          <w:szCs w:val="32"/>
          <w:highlight w:val="none"/>
        </w:rPr>
        <w:t>年本年收入合计</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eastAsia" w:ascii="Times New Roman" w:hAnsi="Times New Roman" w:eastAsia="方正仿宋简体" w:cs="Times New Roman"/>
          <w:color w:val="auto"/>
          <w:sz w:val="32"/>
          <w:szCs w:val="32"/>
          <w:highlight w:val="none"/>
        </w:rPr>
        <w:t>万元，其中：一般公共预算财政拨款收入</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eastAsia" w:ascii="Times New Roman" w:hAnsi="Times New Roman" w:eastAsia="方正仿宋简体" w:cs="Times New Roman"/>
          <w:color w:val="auto"/>
          <w:sz w:val="32"/>
          <w:szCs w:val="32"/>
          <w:highlight w:val="none"/>
        </w:rPr>
        <w:t>万元，占</w:t>
      </w:r>
      <w:r>
        <w:rPr>
          <w:rFonts w:hint="eastAsia" w:ascii="Times New Roman" w:hAnsi="Times New Roman" w:eastAsia="方正仿宋简体" w:cs="Times New Roman"/>
          <w:color w:val="auto"/>
          <w:sz w:val="32"/>
          <w:szCs w:val="32"/>
          <w:highlight w:val="none"/>
          <w:lang w:val="en-US" w:eastAsia="zh-CN"/>
        </w:rPr>
        <w:t>100</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r>
        <w:rPr>
          <w:rFonts w:hint="eastAsia" w:ascii="仿宋" w:hAnsi="仿宋" w:eastAsia="仿宋"/>
          <w:color w:val="000000"/>
          <w:sz w:val="32"/>
          <w:szCs w:val="32"/>
        </w:rPr>
        <w:drawing>
          <wp:anchor distT="0" distB="0" distL="114300" distR="114300" simplePos="0" relativeHeight="251661312" behindDoc="1" locked="0" layoutInCell="1" allowOverlap="1">
            <wp:simplePos x="0" y="0"/>
            <wp:positionH relativeFrom="column">
              <wp:posOffset>38100</wp:posOffset>
            </wp:positionH>
            <wp:positionV relativeFrom="paragraph">
              <wp:posOffset>167005</wp:posOffset>
            </wp:positionV>
            <wp:extent cx="5193665" cy="3009265"/>
            <wp:effectExtent l="4445" t="4445" r="21590" b="1524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default"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Style w:val="25"/>
          <w:rFonts w:hint="default" w:ascii="Times New Roman" w:hAnsi="Times New Roman" w:eastAsia="方正仿宋简体" w:cs="Times New Roman"/>
          <w:b w:val="0"/>
          <w:color w:val="auto"/>
          <w:sz w:val="30"/>
          <w:szCs w:val="30"/>
          <w:highlight w:val="none"/>
        </w:rPr>
      </w:pPr>
      <w:r>
        <w:rPr>
          <w:rFonts w:hint="default" w:ascii="Times New Roman" w:hAnsi="Times New Roman" w:eastAsia="方正仿宋简体" w:cs="Times New Roman"/>
          <w:color w:val="auto"/>
          <w:sz w:val="30"/>
          <w:szCs w:val="30"/>
          <w:highlight w:val="none"/>
        </w:rPr>
        <w:t>图2：收入决算结构图</w:t>
      </w:r>
      <w:bookmarkStart w:id="22" w:name="_Toc15377207"/>
      <w:bookmarkStart w:id="23" w:name="_Toc15396605"/>
    </w:p>
    <w:p>
      <w:pPr>
        <w:pStyle w:val="24"/>
        <w:pageBreakBefore w:val="0"/>
        <w:numPr>
          <w:ilvl w:val="0"/>
          <w:numId w:val="2"/>
        </w:numPr>
        <w:kinsoku/>
        <w:wordWrap/>
        <w:overflowPunct/>
        <w:topLinePunct w:val="0"/>
        <w:bidi w:val="0"/>
        <w:snapToGrid/>
        <w:spacing w:line="600" w:lineRule="exact"/>
        <w:ind w:firstLineChars="0"/>
        <w:textAlignment w:val="auto"/>
        <w:outlineLvl w:val="1"/>
        <w:rPr>
          <w:rFonts w:hint="default" w:ascii="Times New Roman" w:hAnsi="Times New Roman" w:eastAsia="方正黑体简体" w:cs="Times New Roman"/>
          <w:color w:val="auto"/>
          <w:sz w:val="32"/>
          <w:szCs w:val="32"/>
          <w:highlight w:val="none"/>
        </w:rPr>
      </w:pPr>
      <w:r>
        <w:rPr>
          <w:rFonts w:hint="eastAsia" w:ascii="Times New Roman" w:hAnsi="Times New Roman" w:eastAsia="方正黑体简体" w:cs="Times New Roman"/>
          <w:color w:val="auto"/>
          <w:sz w:val="32"/>
          <w:szCs w:val="32"/>
          <w:highlight w:val="none"/>
        </w:rPr>
        <w:t>支出决算情况说明</w:t>
      </w:r>
      <w:bookmarkEnd w:id="22"/>
      <w:bookmarkEnd w:id="23"/>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22</w:t>
      </w:r>
      <w:r>
        <w:rPr>
          <w:rFonts w:hint="eastAsia" w:ascii="Times New Roman" w:hAnsi="Times New Roman" w:eastAsia="方正仿宋简体" w:cs="Times New Roman"/>
          <w:color w:val="auto"/>
          <w:sz w:val="32"/>
          <w:szCs w:val="32"/>
          <w:highlight w:val="none"/>
        </w:rPr>
        <w:t>年本年支出合计</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eastAsia" w:ascii="Times New Roman" w:hAnsi="Times New Roman" w:eastAsia="方正仿宋简体" w:cs="Times New Roman"/>
          <w:color w:val="auto"/>
          <w:sz w:val="32"/>
          <w:szCs w:val="32"/>
          <w:highlight w:val="none"/>
        </w:rPr>
        <w:t>万元，其中：基本支出</w:t>
      </w:r>
      <w:r>
        <w:rPr>
          <w:rFonts w:hint="eastAsia"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974.25</w:t>
      </w:r>
      <w:r>
        <w:rPr>
          <w:rFonts w:hint="eastAsia"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46.5</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；项目支出</w:t>
      </w:r>
      <w:r>
        <w:rPr>
          <w:rFonts w:hint="eastAsia" w:eastAsia="方正仿宋简体" w:cs="Times New Roman"/>
          <w:color w:val="auto"/>
          <w:sz w:val="32"/>
          <w:szCs w:val="32"/>
          <w:highlight w:val="none"/>
          <w:lang w:val="en-US" w:eastAsia="zh-CN"/>
        </w:rPr>
        <w:t>3</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422.48</w:t>
      </w:r>
      <w:r>
        <w:rPr>
          <w:rFonts w:hint="eastAsia"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53.5</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0"/>
        <w:textAlignment w:val="auto"/>
        <w:rPr>
          <w:rFonts w:ascii="仿宋" w:hAnsi="仿宋" w:eastAsia="仿宋"/>
          <w:color w:val="auto"/>
          <w:sz w:val="32"/>
          <w:szCs w:val="32"/>
          <w:highlight w:val="none"/>
          <w:shd w:val="pct10" w:color="auto" w:fill="FFFFFF"/>
        </w:rPr>
      </w:pPr>
      <w:r>
        <w:rPr>
          <w:rFonts w:hint="eastAsia" w:ascii="黑体" w:hAnsi="黑体" w:eastAsia="黑体"/>
          <w:color w:val="000000"/>
          <w:sz w:val="32"/>
          <w:szCs w:val="32"/>
        </w:rPr>
        <w:drawing>
          <wp:anchor distT="0" distB="0" distL="114300" distR="114300" simplePos="0" relativeHeight="251662336" behindDoc="1" locked="0" layoutInCell="1" allowOverlap="1">
            <wp:simplePos x="0" y="0"/>
            <wp:positionH relativeFrom="column">
              <wp:posOffset>57150</wp:posOffset>
            </wp:positionH>
            <wp:positionV relativeFrom="paragraph">
              <wp:posOffset>209550</wp:posOffset>
            </wp:positionV>
            <wp:extent cx="5203825" cy="2857500"/>
            <wp:effectExtent l="5080" t="4445" r="1079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hint="eastAsia" w:ascii="Times New Roman" w:hAnsi="Times New Roman" w:eastAsia="方正仿宋简体" w:cs="Times New Roman"/>
          <w:color w:val="auto"/>
          <w:sz w:val="30"/>
          <w:szCs w:val="30"/>
          <w:highlight w:val="none"/>
        </w:rPr>
      </w:pPr>
    </w:p>
    <w:p>
      <w:pPr>
        <w:pStyle w:val="24"/>
        <w:pageBreakBefore w:val="0"/>
        <w:numPr>
          <w:ilvl w:val="0"/>
          <w:numId w:val="0"/>
        </w:numPr>
        <w:kinsoku/>
        <w:wordWrap/>
        <w:overflowPunct/>
        <w:topLinePunct w:val="0"/>
        <w:bidi w:val="0"/>
        <w:snapToGrid/>
        <w:spacing w:line="600" w:lineRule="exact"/>
        <w:ind w:left="640" w:leftChars="0"/>
        <w:jc w:val="center"/>
        <w:textAlignment w:val="auto"/>
        <w:outlineLvl w:val="1"/>
        <w:rPr>
          <w:rFonts w:ascii="仿宋_GB2312" w:eastAsia="仿宋_GB2312"/>
          <w:color w:val="auto"/>
          <w:sz w:val="32"/>
          <w:szCs w:val="32"/>
          <w:highlight w:val="none"/>
        </w:rPr>
      </w:pPr>
      <w:r>
        <w:rPr>
          <w:rFonts w:hint="eastAsia" w:ascii="Times New Roman" w:hAnsi="Times New Roman" w:eastAsia="方正仿宋简体" w:cs="Times New Roman"/>
          <w:color w:val="auto"/>
          <w:sz w:val="30"/>
          <w:szCs w:val="30"/>
          <w:highlight w:val="none"/>
        </w:rPr>
        <w:t>图3：支出决算结构图</w:t>
      </w:r>
    </w:p>
    <w:p>
      <w:pPr>
        <w:pStyle w:val="24"/>
        <w:pageBreakBefore w:val="0"/>
        <w:numPr>
          <w:ilvl w:val="0"/>
          <w:numId w:val="0"/>
        </w:numPr>
        <w:kinsoku/>
        <w:wordWrap/>
        <w:overflowPunct/>
        <w:topLinePunct w:val="0"/>
        <w:bidi w:val="0"/>
        <w:snapToGrid/>
        <w:spacing w:line="600" w:lineRule="exact"/>
        <w:ind w:left="640" w:leftChars="0"/>
        <w:textAlignment w:val="auto"/>
        <w:outlineLvl w:val="1"/>
        <w:rPr>
          <w:rFonts w:hint="eastAsia" w:ascii="Times New Roman" w:hAnsi="Times New Roman" w:eastAsia="方正黑体简体" w:cs="Times New Roman"/>
          <w:color w:val="auto"/>
          <w:sz w:val="32"/>
          <w:szCs w:val="32"/>
          <w:highlight w:val="none"/>
        </w:rPr>
      </w:pPr>
      <w:bookmarkStart w:id="24" w:name="_Toc15377208"/>
      <w:bookmarkStart w:id="25" w:name="_Toc15396606"/>
      <w:r>
        <w:rPr>
          <w:rFonts w:hint="eastAsia" w:ascii="Times New Roman" w:hAnsi="Times New Roman" w:eastAsia="方正黑体简体" w:cs="Times New Roman"/>
          <w:color w:val="auto"/>
          <w:sz w:val="32"/>
          <w:szCs w:val="32"/>
          <w:highlight w:val="none"/>
        </w:rPr>
        <w:t>四、财政拨款收入支出决算总体情况说明</w:t>
      </w:r>
      <w:bookmarkEnd w:id="24"/>
      <w:bookmarkEnd w:id="25"/>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年财政拨款收、支总计</w:t>
      </w:r>
      <w:r>
        <w:rPr>
          <w:rFonts w:hint="eastAsia" w:eastAsia="方正仿宋简体" w:cs="Times New Roman"/>
          <w:color w:val="auto"/>
          <w:sz w:val="32"/>
          <w:szCs w:val="32"/>
          <w:highlight w:val="none"/>
          <w:lang w:eastAsia="zh-CN"/>
        </w:rPr>
        <w:t>各</w:t>
      </w:r>
      <w:r>
        <w:rPr>
          <w:rFonts w:hint="default" w:ascii="Times New Roman" w:hAnsi="Times New Roman" w:eastAsia="方正仿宋简体" w:cs="Times New Roman"/>
          <w:color w:val="auto"/>
          <w:sz w:val="32"/>
          <w:szCs w:val="32"/>
          <w:highlight w:val="none"/>
          <w:lang w:val="en-US" w:eastAsia="zh-CN"/>
        </w:rPr>
        <w:t>6,396.73</w:t>
      </w:r>
      <w:r>
        <w:rPr>
          <w:rFonts w:hint="default" w:ascii="Times New Roman" w:hAnsi="Times New Roman" w:eastAsia="方正仿宋简体" w:cs="Times New Roman"/>
          <w:color w:val="auto"/>
          <w:sz w:val="32"/>
          <w:szCs w:val="32"/>
          <w:highlight w:val="none"/>
        </w:rPr>
        <w:t>万元。与20</w:t>
      </w:r>
      <w:r>
        <w:rPr>
          <w:rFonts w:hint="default" w:ascii="Times New Roman" w:hAnsi="Times New Roman" w:eastAsia="方正仿宋简体" w:cs="Times New Roman"/>
          <w:color w:val="auto"/>
          <w:sz w:val="32"/>
          <w:szCs w:val="32"/>
          <w:highlight w:val="none"/>
          <w:lang w:val="en-US" w:eastAsia="zh-CN"/>
        </w:rPr>
        <w:t>21</w:t>
      </w:r>
      <w:r>
        <w:rPr>
          <w:rFonts w:hint="default" w:ascii="Times New Roman" w:hAnsi="Times New Roman" w:eastAsia="方正仿宋简体" w:cs="Times New Roman"/>
          <w:color w:val="auto"/>
          <w:sz w:val="32"/>
          <w:szCs w:val="32"/>
          <w:highlight w:val="none"/>
        </w:rPr>
        <w:t>年相比，财政拨款收、支总计各增加</w:t>
      </w:r>
      <w:r>
        <w:rPr>
          <w:rFonts w:hint="eastAsia" w:ascii="Times New Roman" w:hAnsi="Times New Roman" w:eastAsia="方正仿宋简体" w:cs="Times New Roman"/>
          <w:color w:val="auto"/>
          <w:sz w:val="32"/>
          <w:szCs w:val="32"/>
          <w:highlight w:val="none"/>
          <w:lang w:val="en-US" w:eastAsia="zh-CN"/>
        </w:rPr>
        <w:t>218.79</w:t>
      </w:r>
      <w:r>
        <w:rPr>
          <w:rFonts w:hint="default" w:ascii="Times New Roman" w:hAnsi="Times New Roman" w:eastAsia="方正仿宋简体" w:cs="Times New Roman"/>
          <w:color w:val="auto"/>
          <w:sz w:val="32"/>
          <w:szCs w:val="32"/>
          <w:highlight w:val="none"/>
        </w:rPr>
        <w:t>万元，增长</w:t>
      </w:r>
      <w:r>
        <w:rPr>
          <w:rFonts w:hint="eastAsia" w:ascii="Times New Roman" w:hAnsi="Times New Roman" w:eastAsia="方正仿宋简体" w:cs="Times New Roman"/>
          <w:color w:val="auto"/>
          <w:sz w:val="32"/>
          <w:szCs w:val="32"/>
          <w:highlight w:val="none"/>
          <w:lang w:val="en-US" w:eastAsia="zh-CN"/>
        </w:rPr>
        <w:t>3.54</w:t>
      </w:r>
      <w:r>
        <w:rPr>
          <w:rFonts w:hint="default" w:ascii="Times New Roman" w:hAnsi="Times New Roman" w:eastAsia="方正仿宋简体" w:cs="Times New Roman"/>
          <w:color w:val="auto"/>
          <w:sz w:val="32"/>
          <w:szCs w:val="32"/>
          <w:highlight w:val="none"/>
        </w:rPr>
        <w:t>%。主要变动原因是</w:t>
      </w:r>
      <w:r>
        <w:rPr>
          <w:rFonts w:hint="eastAsia" w:ascii="Times New Roman" w:hAnsi="Times New Roman" w:eastAsia="方正仿宋简体" w:cs="Times New Roman"/>
          <w:color w:val="auto"/>
          <w:sz w:val="32"/>
          <w:szCs w:val="32"/>
          <w:highlight w:val="none"/>
          <w:lang w:eastAsia="zh-CN"/>
        </w:rPr>
        <w:t>人员增加</w:t>
      </w:r>
      <w:r>
        <w:rPr>
          <w:rFonts w:hint="default" w:ascii="Times New Roman" w:hAnsi="Times New Roman" w:eastAsia="方正仿宋简体" w:cs="Times New Roman"/>
          <w:color w:val="auto"/>
          <w:sz w:val="32"/>
          <w:szCs w:val="32"/>
          <w:highlight w:val="none"/>
          <w:lang w:eastAsia="zh-CN"/>
        </w:rPr>
        <w:t>，对应的</w:t>
      </w:r>
      <w:r>
        <w:rPr>
          <w:rFonts w:hint="eastAsia" w:ascii="Times New Roman" w:hAnsi="Times New Roman" w:eastAsia="方正仿宋简体" w:cs="Times New Roman"/>
          <w:color w:val="auto"/>
          <w:sz w:val="32"/>
          <w:szCs w:val="32"/>
          <w:highlight w:val="none"/>
          <w:lang w:eastAsia="zh-CN"/>
        </w:rPr>
        <w:t>基本</w:t>
      </w:r>
      <w:r>
        <w:rPr>
          <w:rFonts w:hint="default" w:ascii="Times New Roman" w:hAnsi="Times New Roman" w:eastAsia="方正仿宋简体" w:cs="Times New Roman"/>
          <w:color w:val="auto"/>
          <w:sz w:val="32"/>
          <w:szCs w:val="32"/>
          <w:highlight w:val="none"/>
          <w:lang w:eastAsia="zh-CN"/>
        </w:rPr>
        <w:t>支出</w:t>
      </w:r>
      <w:r>
        <w:rPr>
          <w:rFonts w:hint="eastAsia" w:ascii="Times New Roman" w:hAnsi="Times New Roman" w:eastAsia="方正仿宋简体" w:cs="Times New Roman"/>
          <w:color w:val="auto"/>
          <w:sz w:val="32"/>
          <w:szCs w:val="32"/>
          <w:highlight w:val="none"/>
          <w:lang w:eastAsia="zh-CN"/>
        </w:rPr>
        <w:t>增加</w:t>
      </w:r>
      <w:r>
        <w:rPr>
          <w:rFonts w:hint="default" w:ascii="Times New Roman" w:hAnsi="Times New Roman" w:eastAsia="方正仿宋简体" w:cs="Times New Roman"/>
          <w:color w:val="auto"/>
          <w:sz w:val="32"/>
          <w:szCs w:val="32"/>
          <w:highlight w:val="none"/>
          <w:lang w:eastAsia="zh-CN"/>
        </w:rPr>
        <w:t>。</w:t>
      </w:r>
    </w:p>
    <w:p>
      <w:pPr>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r>
        <w:rPr>
          <w:rFonts w:hint="eastAsia" w:ascii="仿宋" w:hAnsi="仿宋" w:eastAsia="仿宋"/>
          <w:b/>
          <w:color w:val="FF0000"/>
          <w:sz w:val="32"/>
          <w:szCs w:val="32"/>
        </w:rPr>
        <w:drawing>
          <wp:anchor distT="0" distB="0" distL="114300" distR="114300" simplePos="0" relativeHeight="251663360" behindDoc="1" locked="0" layoutInCell="1" allowOverlap="1">
            <wp:simplePos x="0" y="0"/>
            <wp:positionH relativeFrom="column">
              <wp:posOffset>-95885</wp:posOffset>
            </wp:positionH>
            <wp:positionV relativeFrom="paragraph">
              <wp:posOffset>76835</wp:posOffset>
            </wp:positionV>
            <wp:extent cx="5405755" cy="2806065"/>
            <wp:effectExtent l="4445" t="4445" r="19050" b="889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snapToGrid/>
        <w:spacing w:line="600" w:lineRule="exact"/>
        <w:textAlignment w:val="auto"/>
        <w:rPr>
          <w:rFonts w:ascii="仿宋" w:hAnsi="仿宋" w:eastAsia="仿宋"/>
          <w:color w:val="auto"/>
          <w:sz w:val="32"/>
          <w:szCs w:val="32"/>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ascii="仿宋" w:hAnsi="仿宋" w:eastAsia="仿宋"/>
          <w:b/>
          <w:color w:val="auto"/>
          <w:sz w:val="28"/>
          <w:szCs w:val="28"/>
          <w:highlight w:val="none"/>
        </w:rPr>
      </w:pPr>
      <w:r>
        <w:rPr>
          <w:rFonts w:hint="default" w:ascii="Times New Roman" w:hAnsi="Times New Roman" w:eastAsia="方正仿宋简体" w:cs="Times New Roman"/>
          <w:color w:val="auto"/>
          <w:sz w:val="28"/>
          <w:szCs w:val="28"/>
          <w:highlight w:val="none"/>
        </w:rPr>
        <w:t>图4：财政拨款收、支决算总计变动情况</w:t>
      </w:r>
    </w:p>
    <w:p>
      <w:pPr>
        <w:pStyle w:val="24"/>
        <w:pageBreakBefore w:val="0"/>
        <w:numPr>
          <w:ilvl w:val="0"/>
          <w:numId w:val="0"/>
        </w:numPr>
        <w:kinsoku/>
        <w:wordWrap/>
        <w:overflowPunct/>
        <w:topLinePunct w:val="0"/>
        <w:bidi w:val="0"/>
        <w:snapToGrid/>
        <w:spacing w:line="600" w:lineRule="exact"/>
        <w:ind w:left="640" w:leftChars="0"/>
        <w:textAlignment w:val="auto"/>
        <w:outlineLvl w:val="1"/>
        <w:rPr>
          <w:rFonts w:hint="eastAsia" w:ascii="Times New Roman" w:hAnsi="Times New Roman" w:eastAsia="方正黑体简体" w:cs="Times New Roman"/>
          <w:color w:val="auto"/>
          <w:sz w:val="32"/>
          <w:szCs w:val="32"/>
          <w:highlight w:val="none"/>
        </w:rPr>
      </w:pPr>
      <w:bookmarkStart w:id="26" w:name="_Toc15377209"/>
      <w:bookmarkStart w:id="27" w:name="_Toc15396607"/>
      <w:r>
        <w:rPr>
          <w:rFonts w:hint="eastAsia" w:ascii="Times New Roman" w:hAnsi="Times New Roman" w:eastAsia="方正黑体简体" w:cs="Times New Roman"/>
          <w:color w:val="auto"/>
          <w:sz w:val="32"/>
          <w:szCs w:val="32"/>
          <w:highlight w:val="none"/>
        </w:rPr>
        <w:t>五、一般公共预算财政拨款支出决算情况说明</w:t>
      </w:r>
      <w:bookmarkEnd w:id="26"/>
      <w:bookmarkEnd w:id="27"/>
    </w:p>
    <w:p>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28" w:name="_Toc15377210"/>
      <w:r>
        <w:rPr>
          <w:rFonts w:hint="default" w:ascii="Times New Roman" w:hAnsi="Times New Roman" w:eastAsia="方正楷体简体" w:cs="Times New Roman"/>
          <w:b/>
          <w:color w:val="auto"/>
          <w:sz w:val="32"/>
          <w:szCs w:val="32"/>
          <w:highlight w:val="none"/>
        </w:rPr>
        <w:t>（一）一般公共预算财政拨款支出决算总体情况</w:t>
      </w:r>
      <w:bookmarkEnd w:id="28"/>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22</w:t>
      </w:r>
      <w:r>
        <w:rPr>
          <w:rFonts w:hint="eastAsia" w:ascii="Times New Roman" w:hAnsi="Times New Roman" w:eastAsia="方正仿宋简体" w:cs="Times New Roman"/>
          <w:color w:val="auto"/>
          <w:sz w:val="32"/>
          <w:szCs w:val="32"/>
          <w:highlight w:val="none"/>
        </w:rPr>
        <w:t>年一般公共预算财政拨款支出</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eastAsia" w:ascii="Times New Roman" w:hAnsi="Times New Roman" w:eastAsia="方正仿宋简体" w:cs="Times New Roman"/>
          <w:color w:val="auto"/>
          <w:sz w:val="32"/>
          <w:szCs w:val="32"/>
          <w:highlight w:val="none"/>
        </w:rPr>
        <w:t>万元，占本年支出合计的</w:t>
      </w:r>
      <w:r>
        <w:rPr>
          <w:rFonts w:hint="eastAsia" w:ascii="Times New Roman" w:hAnsi="Times New Roman" w:eastAsia="方正仿宋简体" w:cs="Times New Roman"/>
          <w:color w:val="auto"/>
          <w:sz w:val="32"/>
          <w:szCs w:val="32"/>
          <w:highlight w:val="none"/>
          <w:lang w:val="en-US" w:eastAsia="zh-CN"/>
        </w:rPr>
        <w:t>100</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。与</w:t>
      </w: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21</w:t>
      </w:r>
      <w:r>
        <w:rPr>
          <w:rFonts w:hint="eastAsia" w:ascii="Times New Roman" w:hAnsi="Times New Roman" w:eastAsia="方正仿宋简体" w:cs="Times New Roman"/>
          <w:color w:val="auto"/>
          <w:sz w:val="32"/>
          <w:szCs w:val="32"/>
          <w:highlight w:val="none"/>
        </w:rPr>
        <w:t>年相比，一般公共预算财政拨款</w:t>
      </w:r>
      <w:r>
        <w:rPr>
          <w:rFonts w:hint="eastAsia" w:ascii="Times New Roman" w:hAnsi="Times New Roman" w:eastAsia="方正仿宋简体" w:cs="Times New Roman"/>
          <w:color w:val="auto"/>
          <w:sz w:val="32"/>
          <w:szCs w:val="32"/>
          <w:highlight w:val="none"/>
          <w:lang w:eastAsia="zh-CN"/>
        </w:rPr>
        <w:t>支出</w:t>
      </w:r>
      <w:r>
        <w:rPr>
          <w:rFonts w:hint="default" w:ascii="Times New Roman" w:hAnsi="Times New Roman" w:eastAsia="方正仿宋简体" w:cs="Times New Roman"/>
          <w:color w:val="auto"/>
          <w:sz w:val="32"/>
          <w:szCs w:val="32"/>
          <w:highlight w:val="none"/>
        </w:rPr>
        <w:t>增加</w:t>
      </w:r>
      <w:r>
        <w:rPr>
          <w:rFonts w:hint="eastAsia" w:ascii="Times New Roman" w:hAnsi="Times New Roman" w:eastAsia="方正仿宋简体" w:cs="Times New Roman"/>
          <w:color w:val="auto"/>
          <w:sz w:val="32"/>
          <w:szCs w:val="32"/>
          <w:highlight w:val="none"/>
          <w:lang w:val="en-US" w:eastAsia="zh-CN"/>
        </w:rPr>
        <w:t>218.79</w:t>
      </w:r>
      <w:r>
        <w:rPr>
          <w:rFonts w:hint="default" w:ascii="Times New Roman" w:hAnsi="Times New Roman" w:eastAsia="方正仿宋简体" w:cs="Times New Roman"/>
          <w:color w:val="auto"/>
          <w:sz w:val="32"/>
          <w:szCs w:val="32"/>
          <w:highlight w:val="none"/>
        </w:rPr>
        <w:t>万元，增长</w:t>
      </w:r>
      <w:r>
        <w:rPr>
          <w:rFonts w:hint="eastAsia" w:ascii="Times New Roman" w:hAnsi="Times New Roman" w:eastAsia="方正仿宋简体" w:cs="Times New Roman"/>
          <w:color w:val="auto"/>
          <w:sz w:val="32"/>
          <w:szCs w:val="32"/>
          <w:highlight w:val="none"/>
          <w:lang w:val="en-US" w:eastAsia="zh-CN"/>
        </w:rPr>
        <w:t>3.54</w:t>
      </w:r>
      <w:r>
        <w:rPr>
          <w:rFonts w:hint="default" w:ascii="Times New Roman" w:hAnsi="Times New Roman" w:eastAsia="方正仿宋简体" w:cs="Times New Roman"/>
          <w:color w:val="auto"/>
          <w:sz w:val="32"/>
          <w:szCs w:val="32"/>
          <w:highlight w:val="none"/>
        </w:rPr>
        <w:t>%。主要变动原因是</w:t>
      </w:r>
      <w:r>
        <w:rPr>
          <w:rFonts w:hint="eastAsia" w:ascii="Times New Roman" w:hAnsi="Times New Roman" w:eastAsia="方正仿宋简体" w:cs="Times New Roman"/>
          <w:color w:val="auto"/>
          <w:sz w:val="32"/>
          <w:szCs w:val="32"/>
          <w:highlight w:val="none"/>
          <w:lang w:eastAsia="zh-CN"/>
        </w:rPr>
        <w:t>人员增加</w:t>
      </w:r>
      <w:r>
        <w:rPr>
          <w:rFonts w:hint="default" w:ascii="Times New Roman" w:hAnsi="Times New Roman" w:eastAsia="方正仿宋简体" w:cs="Times New Roman"/>
          <w:color w:val="auto"/>
          <w:sz w:val="32"/>
          <w:szCs w:val="32"/>
          <w:highlight w:val="none"/>
          <w:lang w:eastAsia="zh-CN"/>
        </w:rPr>
        <w:t>，对应的</w:t>
      </w:r>
      <w:r>
        <w:rPr>
          <w:rFonts w:hint="eastAsia" w:ascii="Times New Roman" w:hAnsi="Times New Roman" w:eastAsia="方正仿宋简体" w:cs="Times New Roman"/>
          <w:color w:val="auto"/>
          <w:sz w:val="32"/>
          <w:szCs w:val="32"/>
          <w:highlight w:val="none"/>
          <w:lang w:eastAsia="zh-CN"/>
        </w:rPr>
        <w:t>基本</w:t>
      </w:r>
      <w:r>
        <w:rPr>
          <w:rFonts w:hint="default" w:ascii="Times New Roman" w:hAnsi="Times New Roman" w:eastAsia="方正仿宋简体" w:cs="Times New Roman"/>
          <w:color w:val="auto"/>
          <w:sz w:val="32"/>
          <w:szCs w:val="32"/>
          <w:highlight w:val="none"/>
          <w:lang w:eastAsia="zh-CN"/>
        </w:rPr>
        <w:t>支出</w:t>
      </w:r>
      <w:r>
        <w:rPr>
          <w:rFonts w:hint="eastAsia" w:ascii="Times New Roman" w:hAnsi="Times New Roman" w:eastAsia="方正仿宋简体" w:cs="Times New Roman"/>
          <w:color w:val="auto"/>
          <w:sz w:val="32"/>
          <w:szCs w:val="32"/>
          <w:highlight w:val="none"/>
          <w:lang w:eastAsia="zh-CN"/>
        </w:rPr>
        <w:t>增加</w:t>
      </w:r>
      <w:r>
        <w:rPr>
          <w:rFonts w:hint="default" w:ascii="Times New Roman" w:hAnsi="Times New Roman" w:eastAsia="方正仿宋简体" w:cs="Times New Roman"/>
          <w:color w:val="auto"/>
          <w:sz w:val="32"/>
          <w:szCs w:val="32"/>
          <w:highlight w:val="none"/>
          <w:lang w:eastAsia="zh-CN"/>
        </w:rPr>
        <w:t>。</w:t>
      </w:r>
    </w:p>
    <w:p>
      <w:pPr>
        <w:pageBreakBefore w:val="0"/>
        <w:kinsoku/>
        <w:wordWrap/>
        <w:overflowPunct/>
        <w:topLinePunct w:val="0"/>
        <w:bidi w:val="0"/>
        <w:snapToGrid/>
        <w:spacing w:line="600" w:lineRule="exact"/>
        <w:ind w:firstLine="640" w:firstLineChars="200"/>
        <w:textAlignment w:val="auto"/>
        <w:rPr>
          <w:rFonts w:ascii="仿宋" w:hAnsi="仿宋" w:eastAsia="仿宋"/>
          <w:color w:val="auto"/>
          <w:sz w:val="32"/>
          <w:szCs w:val="32"/>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640" w:firstLineChars="200"/>
        <w:jc w:val="center"/>
        <w:textAlignment w:val="auto"/>
        <w:rPr>
          <w:rFonts w:hint="default" w:ascii="Times New Roman" w:hAnsi="Times New Roman" w:eastAsia="方正仿宋简体" w:cs="Times New Roman"/>
          <w:color w:val="auto"/>
          <w:sz w:val="28"/>
          <w:szCs w:val="28"/>
          <w:highlight w:val="none"/>
        </w:rPr>
      </w:pPr>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38735</wp:posOffset>
            </wp:positionH>
            <wp:positionV relativeFrom="paragraph">
              <wp:posOffset>-47625</wp:posOffset>
            </wp:positionV>
            <wp:extent cx="5156835" cy="2658110"/>
            <wp:effectExtent l="4445" t="4445" r="20320" b="2349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图5：一般公共预算财政拨款支出决算变动情况</w:t>
      </w:r>
    </w:p>
    <w:p>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29" w:name="_Toc15377211"/>
      <w:r>
        <w:rPr>
          <w:rFonts w:hint="eastAsia" w:ascii="Times New Roman" w:hAnsi="Times New Roman" w:eastAsia="方正楷体简体" w:cs="Times New Roman"/>
          <w:b/>
          <w:color w:val="auto"/>
          <w:sz w:val="32"/>
          <w:szCs w:val="32"/>
          <w:highlight w:val="none"/>
        </w:rPr>
        <w:t>（二）一般公共预算财政拨款支出决算结构情况</w:t>
      </w:r>
      <w:bookmarkEnd w:id="29"/>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5408" behindDoc="1" locked="0" layoutInCell="1" allowOverlap="1">
            <wp:simplePos x="0" y="0"/>
            <wp:positionH relativeFrom="column">
              <wp:posOffset>38100</wp:posOffset>
            </wp:positionH>
            <wp:positionV relativeFrom="paragraph">
              <wp:posOffset>1895475</wp:posOffset>
            </wp:positionV>
            <wp:extent cx="5165725" cy="3048000"/>
            <wp:effectExtent l="4445" t="4445" r="11430" b="1460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年一般公共预算财政拨款支出</w:t>
      </w:r>
      <w:r>
        <w:rPr>
          <w:rFonts w:hint="default" w:ascii="Times New Roman" w:hAnsi="Times New Roman" w:eastAsia="方正仿宋简体" w:cs="Times New Roman"/>
          <w:color w:val="auto"/>
          <w:sz w:val="32"/>
          <w:szCs w:val="32"/>
          <w:highlight w:val="none"/>
          <w:lang w:val="en-US" w:eastAsia="zh-CN"/>
        </w:rPr>
        <w:t>6</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396.73</w:t>
      </w:r>
      <w:r>
        <w:rPr>
          <w:rFonts w:hint="default" w:ascii="Times New Roman" w:hAnsi="Times New Roman" w:eastAsia="方正仿宋简体" w:cs="Times New Roman"/>
          <w:color w:val="auto"/>
          <w:sz w:val="32"/>
          <w:szCs w:val="32"/>
          <w:highlight w:val="none"/>
        </w:rPr>
        <w:t>万元，主要用于以下方面:</w:t>
      </w:r>
      <w:r>
        <w:rPr>
          <w:rFonts w:hint="default" w:ascii="Times New Roman" w:hAnsi="Times New Roman" w:eastAsia="方正仿宋简体" w:cs="Times New Roman"/>
          <w:b/>
          <w:color w:val="auto"/>
          <w:sz w:val="32"/>
          <w:szCs w:val="32"/>
          <w:highlight w:val="none"/>
        </w:rPr>
        <w:t>一般公共服务</w:t>
      </w:r>
      <w:r>
        <w:rPr>
          <w:rFonts w:hint="default" w:ascii="Times New Roman" w:hAnsi="Times New Roman" w:eastAsia="方正仿宋简体" w:cs="Times New Roman"/>
          <w:b/>
          <w:bCs/>
          <w:color w:val="auto"/>
          <w:sz w:val="32"/>
          <w:szCs w:val="32"/>
          <w:highlight w:val="none"/>
        </w:rPr>
        <w:t>支出</w:t>
      </w:r>
      <w:r>
        <w:rPr>
          <w:rFonts w:hint="eastAsia" w:eastAsia="方正仿宋简体" w:cs="Times New Roman"/>
          <w:color w:val="auto"/>
          <w:sz w:val="32"/>
          <w:szCs w:val="32"/>
          <w:highlight w:val="none"/>
          <w:lang w:val="en-US" w:eastAsia="zh-CN"/>
        </w:rPr>
        <w:t>174.88</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2.73</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color w:val="auto"/>
          <w:sz w:val="32"/>
          <w:szCs w:val="32"/>
          <w:highlight w:val="none"/>
        </w:rPr>
        <w:t>教育支出</w:t>
      </w:r>
      <w:r>
        <w:rPr>
          <w:rFonts w:hint="eastAsia" w:eastAsia="方正仿宋简体" w:cs="Times New Roman"/>
          <w:color w:val="auto"/>
          <w:sz w:val="32"/>
          <w:szCs w:val="32"/>
          <w:highlight w:val="none"/>
          <w:lang w:val="en-US" w:eastAsia="zh-CN"/>
        </w:rPr>
        <w:t>122.45</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1.91</w:t>
      </w:r>
      <w:r>
        <w:rPr>
          <w:rFonts w:hint="default" w:ascii="Times New Roman" w:hAnsi="Times New Roman" w:eastAsia="方正仿宋简体" w:cs="Times New Roman"/>
          <w:color w:val="auto"/>
          <w:sz w:val="32"/>
          <w:szCs w:val="32"/>
          <w:highlight w:val="none"/>
        </w:rPr>
        <w:t>%</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社会保障和就业</w:t>
      </w:r>
      <w:r>
        <w:rPr>
          <w:rFonts w:hint="default" w:ascii="Times New Roman" w:hAnsi="Times New Roman" w:eastAsia="方正仿宋简体" w:cs="Times New Roman"/>
          <w:b/>
          <w:bCs/>
          <w:color w:val="auto"/>
          <w:sz w:val="32"/>
          <w:szCs w:val="32"/>
          <w:highlight w:val="none"/>
        </w:rPr>
        <w:t>支出</w:t>
      </w:r>
      <w:r>
        <w:rPr>
          <w:rFonts w:hint="eastAsia" w:eastAsia="方正仿宋简体" w:cs="Times New Roman"/>
          <w:color w:val="auto"/>
          <w:sz w:val="32"/>
          <w:szCs w:val="32"/>
          <w:highlight w:val="none"/>
          <w:lang w:val="en-US" w:eastAsia="zh-CN"/>
        </w:rPr>
        <w:t>5</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577.26</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87.19</w:t>
      </w:r>
      <w:r>
        <w:rPr>
          <w:rFonts w:hint="default" w:ascii="Times New Roman" w:hAnsi="Times New Roman" w:eastAsia="方正仿宋简体" w:cs="Times New Roman"/>
          <w:color w:val="auto"/>
          <w:sz w:val="32"/>
          <w:szCs w:val="32"/>
          <w:highlight w:val="none"/>
        </w:rPr>
        <w:t>%</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卫生健康支出</w:t>
      </w:r>
      <w:r>
        <w:rPr>
          <w:rFonts w:hint="eastAsia" w:eastAsia="方正仿宋简体" w:cs="Times New Roman"/>
          <w:color w:val="auto"/>
          <w:sz w:val="32"/>
          <w:szCs w:val="32"/>
          <w:highlight w:val="none"/>
          <w:lang w:val="en-US" w:eastAsia="zh-CN"/>
        </w:rPr>
        <w:t>151.72</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2.37</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bCs/>
          <w:color w:val="auto"/>
          <w:sz w:val="32"/>
          <w:szCs w:val="32"/>
          <w:highlight w:val="none"/>
        </w:rPr>
        <w:t>住房保障支出</w:t>
      </w:r>
      <w:r>
        <w:rPr>
          <w:rFonts w:hint="eastAsia" w:eastAsia="方正仿宋简体" w:cs="Times New Roman"/>
          <w:color w:val="auto"/>
          <w:sz w:val="32"/>
          <w:szCs w:val="32"/>
          <w:highlight w:val="none"/>
          <w:lang w:val="en-US" w:eastAsia="zh-CN"/>
        </w:rPr>
        <w:t>370.42</w:t>
      </w:r>
      <w:r>
        <w:rPr>
          <w:rFonts w:hint="default" w:ascii="Times New Roman" w:hAnsi="Times New Roman" w:eastAsia="方正仿宋简体" w:cs="Times New Roman"/>
          <w:color w:val="auto"/>
          <w:sz w:val="32"/>
          <w:szCs w:val="32"/>
          <w:highlight w:val="none"/>
        </w:rPr>
        <w:t>万元，占</w:t>
      </w:r>
      <w:r>
        <w:rPr>
          <w:rFonts w:hint="eastAsia" w:eastAsia="方正仿宋简体" w:cs="Times New Roman"/>
          <w:color w:val="auto"/>
          <w:sz w:val="32"/>
          <w:szCs w:val="32"/>
          <w:highlight w:val="none"/>
          <w:lang w:val="en-US" w:eastAsia="zh-CN"/>
        </w:rPr>
        <w:t>5.79</w:t>
      </w:r>
      <w:r>
        <w:rPr>
          <w:rFonts w:hint="default"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p>
    <w:p>
      <w:pPr>
        <w:pageBreakBefore w:val="0"/>
        <w:kinsoku/>
        <w:wordWrap/>
        <w:overflowPunct/>
        <w:topLinePunct w:val="0"/>
        <w:bidi w:val="0"/>
        <w:snapToGrid/>
        <w:spacing w:line="600" w:lineRule="exact"/>
        <w:ind w:firstLine="560" w:firstLineChars="200"/>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图6：一般公共预算财政拨款支出决算结构</w:t>
      </w:r>
    </w:p>
    <w:p>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0" w:name="_Toc15377212"/>
      <w:r>
        <w:rPr>
          <w:rFonts w:hint="eastAsia" w:ascii="Times New Roman" w:hAnsi="Times New Roman" w:eastAsia="方正楷体简体" w:cs="Times New Roman"/>
          <w:b/>
          <w:color w:val="auto"/>
          <w:sz w:val="32"/>
          <w:szCs w:val="32"/>
          <w:highlight w:val="none"/>
        </w:rPr>
        <w:t>（三）一般公共预算财政拨款支出决算具体情况</w:t>
      </w:r>
      <w:bookmarkEnd w:id="30"/>
    </w:p>
    <w:p>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仿宋简体" w:cs="Times New Roman"/>
          <w:color w:val="auto"/>
          <w:sz w:val="32"/>
          <w:szCs w:val="32"/>
          <w:highlight w:val="none"/>
        </w:rPr>
      </w:pPr>
      <w:bookmarkStart w:id="31" w:name="_Toc15377444"/>
      <w:bookmarkStart w:id="32" w:name="_Toc15378460"/>
      <w:bookmarkStart w:id="33" w:name="_Toc15377213"/>
      <w:r>
        <w:rPr>
          <w:rFonts w:hint="default" w:ascii="Times New Roman" w:hAnsi="Times New Roman" w:eastAsia="方正仿宋简体" w:cs="Times New Roman"/>
          <w:b/>
          <w:color w:val="auto"/>
          <w:sz w:val="32"/>
          <w:szCs w:val="32"/>
          <w:highlight w:val="none"/>
        </w:rPr>
        <w:t>20</w:t>
      </w:r>
      <w:r>
        <w:rPr>
          <w:rFonts w:hint="default" w:ascii="Times New Roman" w:hAnsi="Times New Roman" w:eastAsia="方正仿宋简体" w:cs="Times New Roman"/>
          <w:b/>
          <w:color w:val="auto"/>
          <w:sz w:val="32"/>
          <w:szCs w:val="32"/>
          <w:highlight w:val="none"/>
          <w:lang w:val="en-US" w:eastAsia="zh-CN"/>
        </w:rPr>
        <w:t>22</w:t>
      </w:r>
      <w:r>
        <w:rPr>
          <w:rFonts w:hint="default" w:ascii="Times New Roman" w:hAnsi="Times New Roman" w:eastAsia="方正仿宋简体" w:cs="Times New Roman"/>
          <w:b/>
          <w:color w:val="auto"/>
          <w:sz w:val="32"/>
          <w:szCs w:val="32"/>
          <w:highlight w:val="none"/>
        </w:rPr>
        <w:t>年</w:t>
      </w:r>
      <w:r>
        <w:rPr>
          <w:rFonts w:hint="default" w:ascii="Times New Roman" w:hAnsi="Times New Roman" w:eastAsia="方正仿宋简体" w:cs="Times New Roman"/>
          <w:b/>
          <w:color w:val="auto"/>
          <w:sz w:val="32"/>
          <w:szCs w:val="32"/>
          <w:highlight w:val="none"/>
          <w:lang w:eastAsia="zh-CN"/>
        </w:rPr>
        <w:t>一</w:t>
      </w:r>
      <w:r>
        <w:rPr>
          <w:rFonts w:hint="default" w:ascii="Times New Roman" w:hAnsi="Times New Roman" w:eastAsia="方正仿宋简体" w:cs="Times New Roman"/>
          <w:b/>
          <w:color w:val="auto"/>
          <w:sz w:val="32"/>
          <w:szCs w:val="32"/>
          <w:highlight w:val="none"/>
        </w:rPr>
        <w:t>般公共预算支出决算数为</w:t>
      </w:r>
      <w:r>
        <w:rPr>
          <w:rFonts w:hint="eastAsia" w:eastAsia="方正仿宋简体" w:cs="Times New Roman"/>
          <w:b/>
          <w:color w:val="auto"/>
          <w:sz w:val="32"/>
          <w:szCs w:val="32"/>
          <w:highlight w:val="none"/>
          <w:lang w:val="en-US" w:eastAsia="zh-CN"/>
        </w:rPr>
        <w:t>6</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eastAsia" w:eastAsia="方正仿宋简体" w:cs="Times New Roman"/>
          <w:b/>
          <w:color w:val="auto"/>
          <w:sz w:val="32"/>
          <w:szCs w:val="32"/>
          <w:highlight w:val="none"/>
          <w:lang w:val="en-US" w:eastAsia="zh-CN"/>
        </w:rPr>
        <w:t>396.73万元</w:t>
      </w:r>
      <w:r>
        <w:rPr>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bCs/>
          <w:color w:val="auto"/>
          <w:sz w:val="32"/>
          <w:szCs w:val="32"/>
          <w:highlight w:val="none"/>
        </w:rPr>
        <w:t>完成预算</w:t>
      </w:r>
      <w:r>
        <w:rPr>
          <w:rStyle w:val="14"/>
          <w:rFonts w:hint="eastAsia" w:eastAsia="方正仿宋简体" w:cs="Times New Roman"/>
          <w:bCs/>
          <w:color w:val="auto"/>
          <w:sz w:val="32"/>
          <w:szCs w:val="32"/>
          <w:highlight w:val="none"/>
          <w:lang w:val="en-US" w:eastAsia="zh-CN"/>
        </w:rPr>
        <w:t>85.18</w:t>
      </w:r>
      <w:r>
        <w:rPr>
          <w:rStyle w:val="14"/>
          <w:rFonts w:hint="default" w:ascii="Times New Roman" w:hAnsi="Times New Roman" w:eastAsia="方正仿宋简体" w:cs="Times New Roman"/>
          <w:bCs/>
          <w:color w:val="auto"/>
          <w:sz w:val="32"/>
          <w:szCs w:val="32"/>
          <w:highlight w:val="none"/>
        </w:rPr>
        <w:t>%。其中：</w:t>
      </w:r>
      <w:bookmarkEnd w:id="31"/>
      <w:bookmarkEnd w:id="32"/>
      <w:bookmarkEnd w:id="33"/>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方正仿宋简体" w:cs="Times New Roman"/>
          <w:b w:val="0"/>
          <w:bCs/>
          <w:color w:val="auto"/>
          <w:sz w:val="32"/>
          <w:szCs w:val="32"/>
          <w:highlight w:val="none"/>
        </w:rPr>
      </w:pPr>
      <w:r>
        <w:rPr>
          <w:rStyle w:val="14"/>
          <w:rFonts w:hint="eastAsia" w:eastAsia="方正仿宋简体" w:cs="Times New Roman"/>
          <w:bCs/>
          <w:color w:val="auto"/>
          <w:sz w:val="32"/>
          <w:szCs w:val="32"/>
          <w:highlight w:val="none"/>
          <w:lang w:val="en-US" w:eastAsia="zh-CN"/>
        </w:rPr>
        <w:t>1.</w:t>
      </w:r>
      <w:r>
        <w:rPr>
          <w:rStyle w:val="14"/>
          <w:rFonts w:hint="default" w:ascii="Times New Roman" w:hAnsi="Times New Roman" w:eastAsia="方正仿宋简体" w:cs="Times New Roman"/>
          <w:bCs/>
          <w:color w:val="auto"/>
          <w:sz w:val="32"/>
          <w:szCs w:val="32"/>
          <w:highlight w:val="none"/>
        </w:rPr>
        <w:t>一般公共服务（类）政府办公厅（室）及相关机构事务（款）其他政府办公厅（室）及相关机构事务支出（项）</w:t>
      </w:r>
      <w:r>
        <w:rPr>
          <w:rStyle w:val="14"/>
          <w:rFonts w:hint="eastAsia" w:eastAsia="方正仿宋简体" w:cs="Times New Roman"/>
          <w:bCs/>
          <w:color w:val="auto"/>
          <w:sz w:val="32"/>
          <w:szCs w:val="32"/>
          <w:highlight w:val="none"/>
          <w:lang w:eastAsia="zh-CN"/>
        </w:rPr>
        <w:t>：</w:t>
      </w:r>
      <w:r>
        <w:rPr>
          <w:rStyle w:val="14"/>
          <w:rFonts w:hint="default" w:ascii="Times New Roman" w:hAnsi="Times New Roman" w:eastAsia="方正仿宋简体" w:cs="Times New Roman"/>
          <w:b w:val="0"/>
          <w:bCs/>
          <w:color w:val="auto"/>
          <w:sz w:val="32"/>
          <w:szCs w:val="32"/>
          <w:highlight w:val="none"/>
        </w:rPr>
        <w:t>支出决算为</w:t>
      </w:r>
      <w:r>
        <w:rPr>
          <w:rStyle w:val="14"/>
          <w:rFonts w:hint="default" w:ascii="Times New Roman" w:hAnsi="Times New Roman" w:eastAsia="方正仿宋简体" w:cs="Times New Roman"/>
          <w:b w:val="0"/>
          <w:bCs/>
          <w:color w:val="auto"/>
          <w:sz w:val="32"/>
          <w:szCs w:val="32"/>
          <w:highlight w:val="none"/>
          <w:lang w:val="en-US" w:eastAsia="zh-CN"/>
        </w:rPr>
        <w:t>8.20</w:t>
      </w:r>
      <w:r>
        <w:rPr>
          <w:rStyle w:val="14"/>
          <w:rFonts w:hint="default" w:ascii="Times New Roman" w:hAnsi="Times New Roman" w:eastAsia="方正仿宋简体" w:cs="Times New Roman"/>
          <w:b w:val="0"/>
          <w:bCs/>
          <w:color w:val="auto"/>
          <w:sz w:val="32"/>
          <w:szCs w:val="32"/>
          <w:highlight w:val="none"/>
        </w:rPr>
        <w:t>万元，完成预算</w:t>
      </w:r>
      <w:r>
        <w:rPr>
          <w:rStyle w:val="14"/>
          <w:rFonts w:hint="default" w:ascii="Times New Roman" w:hAnsi="Times New Roman" w:eastAsia="方正仿宋简体" w:cs="Times New Roman"/>
          <w:b w:val="0"/>
          <w:bCs/>
          <w:color w:val="auto"/>
          <w:sz w:val="32"/>
          <w:szCs w:val="32"/>
          <w:highlight w:val="none"/>
          <w:lang w:val="en-US" w:eastAsia="zh-CN"/>
        </w:rPr>
        <w:t>3.68</w:t>
      </w:r>
      <w:r>
        <w:rPr>
          <w:rStyle w:val="14"/>
          <w:rFonts w:hint="default" w:ascii="Times New Roman" w:hAnsi="Times New Roman" w:eastAsia="方正仿宋简体" w:cs="Times New Roman"/>
          <w:b w:val="0"/>
          <w:bCs/>
          <w:color w:val="auto"/>
          <w:sz w:val="32"/>
          <w:szCs w:val="32"/>
          <w:highlight w:val="none"/>
        </w:rPr>
        <w:t>%，决算数小于预算数的主要原因是厅办公楼（二、三层）维修改造项目</w:t>
      </w:r>
      <w:r>
        <w:rPr>
          <w:rStyle w:val="14"/>
          <w:rFonts w:hint="default" w:ascii="Times New Roman" w:hAnsi="Times New Roman" w:eastAsia="方正仿宋简体" w:cs="Times New Roman"/>
          <w:b w:val="0"/>
          <w:bCs/>
          <w:color w:val="auto"/>
          <w:sz w:val="32"/>
          <w:szCs w:val="32"/>
          <w:highlight w:val="none"/>
          <w:lang w:eastAsia="zh-CN"/>
        </w:rPr>
        <w:t>资金</w:t>
      </w:r>
      <w:r>
        <w:rPr>
          <w:rStyle w:val="14"/>
          <w:rFonts w:hint="eastAsia" w:eastAsia="方正仿宋简体" w:cs="Times New Roman"/>
          <w:b w:val="0"/>
          <w:bCs/>
          <w:color w:val="auto"/>
          <w:sz w:val="32"/>
          <w:szCs w:val="32"/>
          <w:highlight w:val="none"/>
          <w:lang w:val="en-US" w:eastAsia="zh-CN"/>
        </w:rPr>
        <w:t>于2022年第四季度下达</w:t>
      </w:r>
      <w:r>
        <w:rPr>
          <w:rStyle w:val="14"/>
          <w:rFonts w:hint="default" w:ascii="Times New Roman" w:hAnsi="Times New Roman" w:eastAsia="方正仿宋简体" w:cs="Times New Roman"/>
          <w:b w:val="0"/>
          <w:bCs/>
          <w:color w:val="auto"/>
          <w:sz w:val="32"/>
          <w:szCs w:val="32"/>
          <w:highlight w:val="none"/>
          <w:lang w:eastAsia="zh-CN"/>
        </w:rPr>
        <w:t>，按计划支付了项目前期费用，项目主体工程</w:t>
      </w:r>
      <w:r>
        <w:rPr>
          <w:rStyle w:val="14"/>
          <w:rFonts w:hint="default" w:ascii="Times New Roman" w:hAnsi="Times New Roman" w:eastAsia="方正仿宋简体" w:cs="Times New Roman"/>
          <w:b w:val="0"/>
          <w:bCs/>
          <w:color w:val="auto"/>
          <w:sz w:val="32"/>
          <w:szCs w:val="32"/>
          <w:highlight w:val="none"/>
          <w:lang w:val="en-US" w:eastAsia="zh-CN"/>
        </w:rPr>
        <w:t>完成</w:t>
      </w:r>
      <w:r>
        <w:rPr>
          <w:rStyle w:val="14"/>
          <w:rFonts w:hint="eastAsia" w:eastAsia="方正仿宋简体" w:cs="Times New Roman"/>
          <w:b w:val="0"/>
          <w:bCs/>
          <w:color w:val="auto"/>
          <w:sz w:val="32"/>
          <w:szCs w:val="32"/>
          <w:highlight w:val="none"/>
          <w:lang w:val="en-US" w:eastAsia="zh-CN"/>
        </w:rPr>
        <w:t>政府</w:t>
      </w:r>
      <w:r>
        <w:rPr>
          <w:rStyle w:val="14"/>
          <w:rFonts w:hint="default" w:ascii="Times New Roman" w:hAnsi="Times New Roman" w:eastAsia="方正仿宋简体" w:cs="Times New Roman"/>
          <w:b w:val="0"/>
          <w:bCs/>
          <w:color w:val="auto"/>
          <w:sz w:val="32"/>
          <w:szCs w:val="32"/>
          <w:highlight w:val="none"/>
          <w:lang w:val="en-US" w:eastAsia="zh-CN"/>
        </w:rPr>
        <w:t>采购</w:t>
      </w:r>
      <w:r>
        <w:rPr>
          <w:rStyle w:val="14"/>
          <w:rFonts w:hint="eastAsia" w:eastAsia="方正仿宋简体" w:cs="Times New Roman"/>
          <w:b w:val="0"/>
          <w:bCs/>
          <w:color w:val="auto"/>
          <w:sz w:val="32"/>
          <w:szCs w:val="32"/>
          <w:highlight w:val="none"/>
          <w:lang w:val="en-US" w:eastAsia="zh-CN"/>
        </w:rPr>
        <w:t>程序</w:t>
      </w:r>
      <w:r>
        <w:rPr>
          <w:rStyle w:val="14"/>
          <w:rFonts w:hint="default" w:ascii="Times New Roman" w:hAnsi="Times New Roman" w:eastAsia="方正仿宋简体" w:cs="Times New Roman"/>
          <w:b w:val="0"/>
          <w:bCs/>
          <w:color w:val="auto"/>
          <w:sz w:val="32"/>
          <w:szCs w:val="32"/>
          <w:highlight w:val="none"/>
          <w:lang w:val="en-US" w:eastAsia="zh-CN"/>
        </w:rPr>
        <w:t>，</w:t>
      </w:r>
      <w:r>
        <w:rPr>
          <w:rStyle w:val="14"/>
          <w:rFonts w:hint="eastAsia" w:eastAsia="方正仿宋简体" w:cs="Times New Roman"/>
          <w:b w:val="0"/>
          <w:bCs/>
          <w:color w:val="auto"/>
          <w:sz w:val="32"/>
          <w:szCs w:val="32"/>
          <w:highlight w:val="none"/>
          <w:lang w:val="en-US" w:eastAsia="zh-CN"/>
        </w:rPr>
        <w:t>剩余资金</w:t>
      </w:r>
      <w:r>
        <w:rPr>
          <w:rStyle w:val="14"/>
          <w:rFonts w:hint="default" w:ascii="Times New Roman" w:hAnsi="Times New Roman" w:eastAsia="方正仿宋简体" w:cs="Times New Roman"/>
          <w:b w:val="0"/>
          <w:bCs/>
          <w:color w:val="auto"/>
          <w:sz w:val="32"/>
          <w:szCs w:val="32"/>
          <w:highlight w:val="none"/>
          <w:lang w:val="en-US" w:eastAsia="zh-CN"/>
        </w:rPr>
        <w:t>结转下年支付</w:t>
      </w:r>
      <w:r>
        <w:rPr>
          <w:rStyle w:val="14"/>
          <w:rFonts w:hint="default" w:ascii="Times New Roman" w:hAnsi="Times New Roman" w:eastAsia="方正仿宋简体" w:cs="Times New Roman"/>
          <w:b w:val="0"/>
          <w:bCs/>
          <w:color w:val="auto"/>
          <w:sz w:val="32"/>
          <w:szCs w:val="32"/>
          <w:highlight w:val="none"/>
        </w:rPr>
        <w:t>。</w:t>
      </w:r>
    </w:p>
    <w:p>
      <w:pPr>
        <w:pStyle w:val="4"/>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Style w:val="14"/>
          <w:rFonts w:hint="default" w:ascii="Times New Roman" w:hAnsi="Times New Roman" w:eastAsia="方正仿宋简体" w:cs="Times New Roman"/>
          <w:b/>
          <w:bCs/>
          <w:color w:val="auto"/>
          <w:kern w:val="2"/>
          <w:sz w:val="32"/>
          <w:szCs w:val="32"/>
          <w:highlight w:val="none"/>
          <w:lang w:val="en-US" w:eastAsia="zh-CN" w:bidi="ar-SA"/>
        </w:rPr>
        <w:t xml:space="preserve"> </w:t>
      </w:r>
      <w:r>
        <w:rPr>
          <w:rStyle w:val="14"/>
          <w:rFonts w:hint="eastAsia" w:eastAsia="方正仿宋简体" w:cs="Times New Roman"/>
          <w:b/>
          <w:bCs/>
          <w:color w:val="auto"/>
          <w:kern w:val="2"/>
          <w:sz w:val="32"/>
          <w:szCs w:val="32"/>
          <w:highlight w:val="none"/>
          <w:lang w:val="en-US" w:eastAsia="zh-CN" w:bidi="ar-SA"/>
        </w:rPr>
        <w:t xml:space="preserve">  </w:t>
      </w:r>
      <w:r>
        <w:rPr>
          <w:rStyle w:val="14"/>
          <w:rFonts w:hint="default" w:ascii="Times New Roman" w:hAnsi="Times New Roman" w:eastAsia="方正仿宋简体" w:cs="Times New Roman"/>
          <w:b/>
          <w:bCs/>
          <w:color w:val="auto"/>
          <w:kern w:val="2"/>
          <w:sz w:val="32"/>
          <w:szCs w:val="32"/>
          <w:highlight w:val="none"/>
          <w:lang w:val="en-US" w:eastAsia="zh-CN" w:bidi="ar-SA"/>
        </w:rPr>
        <w:t xml:space="preserve">2. </w:t>
      </w:r>
      <w:r>
        <w:rPr>
          <w:rStyle w:val="14"/>
          <w:rFonts w:hint="eastAsia" w:ascii="Times New Roman" w:hAnsi="Times New Roman" w:eastAsia="方正仿宋简体" w:cs="Times New Roman"/>
          <w:b/>
          <w:bCs/>
          <w:color w:val="auto"/>
          <w:kern w:val="2"/>
          <w:sz w:val="32"/>
          <w:szCs w:val="32"/>
          <w:highlight w:val="none"/>
          <w:lang w:val="en-US" w:eastAsia="zh-CN" w:bidi="ar-SA"/>
        </w:rPr>
        <w:t>一般公共服务（类）其他一般公共服务支出（款）其他一般公共服务支出（项）</w:t>
      </w:r>
      <w:r>
        <w:rPr>
          <w:rStyle w:val="14"/>
          <w:rFonts w:hint="eastAsia" w:eastAsia="方正仿宋简体" w:cs="Times New Roman"/>
          <w:b/>
          <w:bCs/>
          <w:color w:val="auto"/>
          <w:kern w:val="2"/>
          <w:sz w:val="32"/>
          <w:szCs w:val="32"/>
          <w:highlight w:val="none"/>
          <w:lang w:val="en-US" w:eastAsia="zh-CN" w:bidi="ar-SA"/>
        </w:rPr>
        <w:t>：</w:t>
      </w:r>
      <w:r>
        <w:rPr>
          <w:rStyle w:val="14"/>
          <w:rFonts w:hint="default" w:ascii="Times New Roman" w:hAnsi="Times New Roman" w:eastAsia="方正仿宋简体" w:cs="Times New Roman"/>
          <w:b w:val="0"/>
          <w:bCs/>
          <w:color w:val="auto"/>
          <w:sz w:val="32"/>
          <w:szCs w:val="32"/>
          <w:highlight w:val="none"/>
        </w:rPr>
        <w:t>支出决算为</w:t>
      </w:r>
      <w:r>
        <w:rPr>
          <w:rStyle w:val="14"/>
          <w:rFonts w:hint="default" w:ascii="Times New Roman" w:hAnsi="Times New Roman" w:eastAsia="方正仿宋简体" w:cs="Times New Roman"/>
          <w:b w:val="0"/>
          <w:bCs/>
          <w:color w:val="auto"/>
          <w:sz w:val="32"/>
          <w:szCs w:val="32"/>
          <w:highlight w:val="none"/>
          <w:lang w:val="en-US" w:eastAsia="zh-CN"/>
        </w:rPr>
        <w:t>166.68</w:t>
      </w:r>
      <w:r>
        <w:rPr>
          <w:rStyle w:val="14"/>
          <w:rFonts w:hint="default" w:ascii="Times New Roman" w:hAnsi="Times New Roman" w:eastAsia="方正仿宋简体" w:cs="Times New Roman"/>
          <w:b w:val="0"/>
          <w:bCs/>
          <w:color w:val="auto"/>
          <w:sz w:val="32"/>
          <w:szCs w:val="32"/>
          <w:highlight w:val="none"/>
        </w:rPr>
        <w:t>万元，完成预算</w:t>
      </w:r>
      <w:r>
        <w:rPr>
          <w:rStyle w:val="14"/>
          <w:rFonts w:hint="default" w:ascii="Times New Roman" w:hAnsi="Times New Roman"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方正仿宋简体" w:cs="Times New Roman"/>
          <w:b w:val="0"/>
          <w:bCs/>
          <w:color w:val="auto"/>
          <w:sz w:val="32"/>
          <w:szCs w:val="32"/>
          <w:highlight w:val="none"/>
        </w:rPr>
      </w:pPr>
      <w:r>
        <w:rPr>
          <w:rStyle w:val="14"/>
          <w:rFonts w:hint="eastAsia" w:ascii="Times New Roman" w:hAnsi="Times New Roman" w:eastAsia="方正仿宋简体" w:cs="Times New Roman"/>
          <w:bCs/>
          <w:color w:val="auto"/>
          <w:sz w:val="32"/>
          <w:szCs w:val="32"/>
          <w:highlight w:val="none"/>
          <w:lang w:val="en-US" w:eastAsia="zh-CN"/>
        </w:rPr>
        <w:t>3.教育（类）进修及培训（款）培训支出（项）</w:t>
      </w:r>
      <w:r>
        <w:rPr>
          <w:rStyle w:val="14"/>
          <w:rFonts w:hint="eastAsia" w:eastAsia="方正仿宋简体" w:cs="Times New Roman"/>
          <w:bCs/>
          <w:color w:val="auto"/>
          <w:sz w:val="32"/>
          <w:szCs w:val="32"/>
          <w:highlight w:val="none"/>
          <w:lang w:val="en-US" w:eastAsia="zh-CN"/>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50.49</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p>
    <w:p>
      <w:pPr>
        <w:pStyle w:val="4"/>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ascii="Times New Roman" w:hAnsi="Times New Roman" w:eastAsia="方正仿宋简体" w:cs="Times New Roman"/>
          <w:b/>
          <w:bCs/>
          <w:color w:val="auto"/>
          <w:kern w:val="2"/>
          <w:sz w:val="32"/>
          <w:szCs w:val="32"/>
          <w:highlight w:val="none"/>
          <w:lang w:val="en-US" w:eastAsia="zh-CN" w:bidi="ar-SA"/>
        </w:rPr>
        <w:t>4.教育（类）进修及培训（款）退役士兵能力提升（项）</w:t>
      </w:r>
      <w:r>
        <w:rPr>
          <w:rStyle w:val="14"/>
          <w:rFonts w:hint="eastAsia" w:eastAsia="方正仿宋简体" w:cs="Times New Roman"/>
          <w:b/>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支出决算为71.97万元，完成预算100%。</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5</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.社会保障和就业（类）人力资源和社会保障管理事务（款）行政运行（项）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支出决算为33.76万元，完成预算100%。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6</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.社会保障和就业（类）行政事业单位养老支出（款）行政单位离退休（项）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支出决算为26.88万元，完成预算100%。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7</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.社会保障和就业（类）行政事业单位养老支出（款）机关事业单位基本养老保险缴费支出（项）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w:t>
      </w:r>
      <w:r>
        <w:rPr>
          <w:rStyle w:val="14"/>
          <w:rFonts w:hint="eastAsia" w:eastAsia="方正仿宋简体" w:cs="Times New Roman"/>
          <w:b w:val="0"/>
          <w:bCs/>
          <w:color w:val="auto"/>
          <w:kern w:val="2"/>
          <w:sz w:val="32"/>
          <w:szCs w:val="32"/>
          <w:highlight w:val="none"/>
          <w:lang w:val="en-US" w:eastAsia="zh-CN" w:bidi="ar-SA"/>
        </w:rPr>
        <w:t>92.10</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8</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.社会保障和就业（类）行政事业单位养老支出（款）机关事业单位职业年金缴费支出（项）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1</w:t>
      </w:r>
      <w:r>
        <w:rPr>
          <w:rStyle w:val="14"/>
          <w:rFonts w:hint="eastAsia" w:ascii="Times New Roman" w:hAnsi="Times New Roman" w:eastAsia="方正仿宋简体" w:cs="Times New Roman"/>
          <w:b w:val="0"/>
          <w:bCs/>
          <w:color w:val="auto"/>
          <w:kern w:val="2"/>
          <w:sz w:val="32"/>
          <w:szCs w:val="32"/>
          <w:highlight w:val="none"/>
          <w:lang w:val="en-US" w:eastAsia="zh-CN" w:bidi="ar-SA"/>
        </w:rPr>
        <w:t>.18万元，完成预算100%。</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9</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.社会保障和就业（类）就业补助（款）其他就业补助支出（项）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支出决算为166.33万元，完成预算49.77%，决算数小于预算数的主要原因是受疫情影响</w:t>
      </w:r>
      <w:r>
        <w:rPr>
          <w:rStyle w:val="14"/>
          <w:rFonts w:hint="eastAsia" w:eastAsia="方正仿宋简体" w:cs="Times New Roman"/>
          <w:b w:val="0"/>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就业创业成果展项目、就业创业技能提升项目、就业创业基础项目三个项目</w:t>
      </w:r>
      <w:r>
        <w:rPr>
          <w:rStyle w:val="14"/>
          <w:rFonts w:hint="eastAsia" w:eastAsia="方正仿宋简体" w:cs="Times New Roman"/>
          <w:b w:val="0"/>
          <w:bCs/>
          <w:color w:val="auto"/>
          <w:kern w:val="2"/>
          <w:sz w:val="32"/>
          <w:szCs w:val="32"/>
          <w:highlight w:val="none"/>
          <w:lang w:val="en-US" w:eastAsia="zh-CN" w:bidi="ar-SA"/>
        </w:rPr>
        <w:t>未在当年实施完毕并予以支付，剩余资金</w:t>
      </w:r>
      <w:r>
        <w:rPr>
          <w:rStyle w:val="14"/>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ascii="Times New Roman" w:hAnsi="Times New Roman" w:eastAsia="方正仿宋简体" w:cs="Times New Roman"/>
          <w:bCs/>
          <w:color w:val="auto"/>
          <w:kern w:val="2"/>
          <w:sz w:val="32"/>
          <w:szCs w:val="32"/>
          <w:highlight w:val="none"/>
          <w:lang w:val="en-US" w:eastAsia="zh-CN" w:bidi="ar-SA"/>
        </w:rPr>
        <w:t>1</w:t>
      </w:r>
      <w:r>
        <w:rPr>
          <w:rStyle w:val="14"/>
          <w:rFonts w:hint="eastAsia" w:eastAsia="方正仿宋简体" w:cs="Times New Roman"/>
          <w:bCs/>
          <w:color w:val="auto"/>
          <w:kern w:val="2"/>
          <w:sz w:val="32"/>
          <w:szCs w:val="32"/>
          <w:highlight w:val="none"/>
          <w:lang w:val="en-US" w:eastAsia="zh-CN" w:bidi="ar-SA"/>
        </w:rPr>
        <w:t>0</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.社会保障和就业（类）退役军人管理事务（款）行政运行（项）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支出决算为2,178.96万元，完成预算98.11%，决算数小于预算数的主要原因是物业管理服务项目按政府采购合同约定付款，</w:t>
      </w:r>
      <w:r>
        <w:rPr>
          <w:rStyle w:val="14"/>
          <w:rFonts w:hint="eastAsia" w:eastAsia="方正仿宋简体" w:cs="Times New Roman"/>
          <w:b w:val="0"/>
          <w:bCs/>
          <w:color w:val="auto"/>
          <w:kern w:val="2"/>
          <w:sz w:val="32"/>
          <w:szCs w:val="32"/>
          <w:highlight w:val="none"/>
          <w:lang w:val="en-US" w:eastAsia="zh-CN" w:bidi="ar-SA"/>
        </w:rPr>
        <w:t>剩余资金</w:t>
      </w:r>
      <w:r>
        <w:rPr>
          <w:rStyle w:val="14"/>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ascii="Times New Roman" w:hAnsi="Times New Roman" w:eastAsia="方正仿宋简体" w:cs="Times New Roman"/>
          <w:bCs/>
          <w:color w:val="auto"/>
          <w:kern w:val="2"/>
          <w:sz w:val="32"/>
          <w:szCs w:val="32"/>
          <w:highlight w:val="none"/>
          <w:lang w:val="en-US" w:eastAsia="zh-CN" w:bidi="ar-SA"/>
        </w:rPr>
        <w:t>1</w:t>
      </w:r>
      <w:r>
        <w:rPr>
          <w:rStyle w:val="14"/>
          <w:rFonts w:hint="eastAsia" w:eastAsia="方正仿宋简体" w:cs="Times New Roman"/>
          <w:bCs/>
          <w:color w:val="auto"/>
          <w:kern w:val="2"/>
          <w:sz w:val="32"/>
          <w:szCs w:val="32"/>
          <w:highlight w:val="none"/>
          <w:lang w:val="en-US" w:eastAsia="zh-CN" w:bidi="ar-SA"/>
        </w:rPr>
        <w:t>1</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.社会保障和就业（类）退役军人管理事务（款）一般行政管理事务（项）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w:t>
      </w:r>
      <w:r>
        <w:rPr>
          <w:rStyle w:val="14"/>
          <w:rFonts w:hint="eastAsia" w:ascii="Times New Roman" w:hAnsi="Times New Roman" w:eastAsia="方正仿宋简体" w:cs="Times New Roman"/>
          <w:b w:val="0"/>
          <w:bCs/>
          <w:color w:val="auto"/>
          <w:kern w:val="2"/>
          <w:sz w:val="32"/>
          <w:szCs w:val="32"/>
          <w:highlight w:val="none"/>
          <w:lang w:val="en-US" w:eastAsia="zh-CN" w:bidi="ar-SA"/>
        </w:rPr>
        <w:t>953.47万元，完成预算84.68%，决算数小于预算数的主要原因是展陈馆陈列布展项目政府采购活动流标，项目结转下年</w:t>
      </w:r>
      <w:r>
        <w:rPr>
          <w:rStyle w:val="14"/>
          <w:rFonts w:hint="eastAsia" w:eastAsia="方正仿宋简体" w:cs="Times New Roman"/>
          <w:b w:val="0"/>
          <w:bCs/>
          <w:color w:val="auto"/>
          <w:kern w:val="2"/>
          <w:sz w:val="32"/>
          <w:szCs w:val="32"/>
          <w:highlight w:val="none"/>
          <w:lang w:val="en-US" w:eastAsia="zh-CN" w:bidi="ar-SA"/>
        </w:rPr>
        <w:t>继续实施</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12.</w:t>
      </w:r>
      <w:r>
        <w:rPr>
          <w:rStyle w:val="14"/>
          <w:rFonts w:hint="eastAsia" w:ascii="Times New Roman" w:hAnsi="Times New Roman" w:eastAsia="方正仿宋简体" w:cs="Times New Roman"/>
          <w:bCs/>
          <w:color w:val="auto"/>
          <w:kern w:val="2"/>
          <w:sz w:val="32"/>
          <w:szCs w:val="32"/>
          <w:highlight w:val="none"/>
          <w:lang w:val="en-US" w:eastAsia="zh-CN" w:bidi="ar-SA"/>
        </w:rPr>
        <w:t>社会保障和就业（类）退役军人管理事务（款）拥军优属（项）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w:t>
      </w:r>
      <w:r>
        <w:rPr>
          <w:rStyle w:val="14"/>
          <w:rFonts w:hint="eastAsia" w:ascii="Times New Roman" w:hAnsi="Times New Roman" w:eastAsia="方正仿宋简体" w:cs="Times New Roman"/>
          <w:b w:val="0"/>
          <w:bCs/>
          <w:color w:val="auto"/>
          <w:kern w:val="2"/>
          <w:sz w:val="32"/>
          <w:szCs w:val="32"/>
          <w:highlight w:val="none"/>
          <w:lang w:val="en-US" w:eastAsia="zh-CN" w:bidi="ar-SA"/>
        </w:rPr>
        <w:t>641.39万元，完成预算100%。</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w:t>
      </w:r>
      <w:r>
        <w:rPr>
          <w:rStyle w:val="14"/>
          <w:rFonts w:hint="eastAsia" w:ascii="Times New Roman" w:hAnsi="Times New Roman" w:eastAsia="方正仿宋简体" w:cs="Times New Roman"/>
          <w:bCs/>
          <w:color w:val="auto"/>
          <w:kern w:val="2"/>
          <w:sz w:val="32"/>
          <w:szCs w:val="32"/>
          <w:highlight w:val="none"/>
          <w:lang w:val="en-US" w:eastAsia="zh-CN" w:bidi="ar-SA"/>
        </w:rPr>
        <w:t>3.社会保障和就业（类）退役军人管理事务（款）其他退役军人事务管理支出（项）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w:t>
      </w:r>
      <w:r>
        <w:rPr>
          <w:rStyle w:val="14"/>
          <w:rFonts w:hint="eastAsia" w:eastAsia="方正仿宋简体" w:cs="Times New Roman"/>
          <w:b w:val="0"/>
          <w:bCs/>
          <w:color w:val="auto"/>
          <w:kern w:val="2"/>
          <w:sz w:val="32"/>
          <w:szCs w:val="32"/>
          <w:highlight w:val="none"/>
          <w:lang w:val="en-US" w:eastAsia="zh-CN" w:bidi="ar-SA"/>
        </w:rPr>
        <w:t>为1</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383</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19</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w:t>
      </w:r>
      <w:r>
        <w:rPr>
          <w:rStyle w:val="14"/>
          <w:rFonts w:hint="eastAsia" w:eastAsia="方正仿宋简体" w:cs="Times New Roman"/>
          <w:b w:val="0"/>
          <w:bCs/>
          <w:color w:val="auto"/>
          <w:kern w:val="2"/>
          <w:sz w:val="32"/>
          <w:szCs w:val="32"/>
          <w:highlight w:val="none"/>
          <w:lang w:val="en-US" w:eastAsia="zh-CN" w:bidi="ar-SA"/>
        </w:rPr>
        <w:t>73</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41</w:t>
      </w:r>
      <w:r>
        <w:rPr>
          <w:rStyle w:val="14"/>
          <w:rFonts w:hint="eastAsia" w:ascii="Times New Roman" w:hAnsi="Times New Roman" w:eastAsia="方正仿宋简体" w:cs="Times New Roman"/>
          <w:b w:val="0"/>
          <w:bCs/>
          <w:color w:val="auto"/>
          <w:kern w:val="2"/>
          <w:sz w:val="32"/>
          <w:szCs w:val="32"/>
          <w:highlight w:val="none"/>
          <w:lang w:val="en-US" w:eastAsia="zh-CN" w:bidi="ar-SA"/>
        </w:rPr>
        <w:t>%，决算数小于预算数的主要原因是信息化一期工程项目</w:t>
      </w:r>
      <w:r>
        <w:rPr>
          <w:rStyle w:val="14"/>
          <w:rFonts w:hint="eastAsia" w:eastAsia="方正仿宋简体" w:cs="Times New Roman"/>
          <w:b w:val="0"/>
          <w:bCs/>
          <w:color w:val="auto"/>
          <w:kern w:val="2"/>
          <w:sz w:val="32"/>
          <w:szCs w:val="32"/>
          <w:highlight w:val="none"/>
          <w:lang w:val="en-US" w:eastAsia="zh-CN" w:bidi="ar-SA"/>
        </w:rPr>
        <w:t>受疫情影响，项目进度延缓，</w:t>
      </w:r>
      <w:r>
        <w:rPr>
          <w:rStyle w:val="14"/>
          <w:rFonts w:hint="eastAsia" w:ascii="Times New Roman" w:hAnsi="Times New Roman" w:eastAsia="方正仿宋简体" w:cs="Times New Roman"/>
          <w:b w:val="0"/>
          <w:bCs/>
          <w:color w:val="auto"/>
          <w:kern w:val="2"/>
          <w:sz w:val="32"/>
          <w:szCs w:val="32"/>
          <w:highlight w:val="none"/>
          <w:lang w:val="en-US" w:eastAsia="zh-CN" w:bidi="ar-SA"/>
        </w:rPr>
        <w:t>按合同</w:t>
      </w:r>
      <w:r>
        <w:rPr>
          <w:rStyle w:val="14"/>
          <w:rFonts w:hint="eastAsia" w:eastAsia="方正仿宋简体" w:cs="Times New Roman"/>
          <w:b w:val="0"/>
          <w:bCs/>
          <w:color w:val="auto"/>
          <w:kern w:val="2"/>
          <w:sz w:val="32"/>
          <w:szCs w:val="32"/>
          <w:highlight w:val="none"/>
          <w:lang w:val="en-US" w:eastAsia="zh-CN" w:bidi="ar-SA"/>
        </w:rPr>
        <w:t>和进度</w:t>
      </w:r>
      <w:r>
        <w:rPr>
          <w:rStyle w:val="14"/>
          <w:rFonts w:hint="eastAsia" w:ascii="Times New Roman" w:hAnsi="Times New Roman" w:eastAsia="方正仿宋简体" w:cs="Times New Roman"/>
          <w:b w:val="0"/>
          <w:bCs/>
          <w:color w:val="auto"/>
          <w:kern w:val="2"/>
          <w:sz w:val="32"/>
          <w:szCs w:val="32"/>
          <w:highlight w:val="none"/>
          <w:lang w:val="en-US" w:eastAsia="zh-CN" w:bidi="ar-SA"/>
        </w:rPr>
        <w:t>付款，</w:t>
      </w:r>
      <w:r>
        <w:rPr>
          <w:rStyle w:val="14"/>
          <w:rFonts w:hint="eastAsia" w:eastAsia="方正仿宋简体" w:cs="Times New Roman"/>
          <w:b w:val="0"/>
          <w:bCs/>
          <w:color w:val="auto"/>
          <w:kern w:val="2"/>
          <w:sz w:val="32"/>
          <w:szCs w:val="32"/>
          <w:highlight w:val="none"/>
          <w:lang w:val="en-US" w:eastAsia="zh-CN" w:bidi="ar-SA"/>
        </w:rPr>
        <w:t>剩余资金</w:t>
      </w:r>
      <w:r>
        <w:rPr>
          <w:rStyle w:val="14"/>
          <w:rFonts w:hint="eastAsia" w:ascii="Times New Roman" w:hAnsi="Times New Roman" w:eastAsia="方正仿宋简体" w:cs="Times New Roman"/>
          <w:b w:val="0"/>
          <w:bCs/>
          <w:color w:val="auto"/>
          <w:kern w:val="2"/>
          <w:sz w:val="32"/>
          <w:szCs w:val="32"/>
          <w:highlight w:val="none"/>
          <w:lang w:val="en-US" w:eastAsia="zh-CN" w:bidi="ar-SA"/>
        </w:rPr>
        <w:t>结转下年支付。</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14</w:t>
      </w:r>
      <w:r>
        <w:rPr>
          <w:rStyle w:val="14"/>
          <w:rFonts w:hint="eastAsia" w:ascii="Times New Roman" w:hAnsi="Times New Roman" w:eastAsia="方正仿宋简体" w:cs="Times New Roman"/>
          <w:bCs/>
          <w:color w:val="auto"/>
          <w:kern w:val="2"/>
          <w:sz w:val="32"/>
          <w:szCs w:val="32"/>
          <w:highlight w:val="none"/>
          <w:lang w:val="en-US" w:eastAsia="zh-CN" w:bidi="ar-SA"/>
        </w:rPr>
        <w:t>.卫生健康（类）行政事业单位医疗（款）</w:t>
      </w:r>
      <w:r>
        <w:rPr>
          <w:rStyle w:val="14"/>
          <w:rFonts w:hint="eastAsia" w:eastAsia="方正仿宋简体" w:cs="Times New Roman"/>
          <w:bCs/>
          <w:color w:val="auto"/>
          <w:kern w:val="2"/>
          <w:sz w:val="32"/>
          <w:szCs w:val="32"/>
          <w:highlight w:val="none"/>
          <w:lang w:val="en-US" w:eastAsia="zh-CN" w:bidi="ar-SA"/>
        </w:rPr>
        <w:tab/>
      </w:r>
      <w:r>
        <w:rPr>
          <w:rStyle w:val="14"/>
          <w:rFonts w:hint="eastAsia" w:ascii="Times New Roman" w:hAnsi="Times New Roman" w:eastAsia="方正仿宋简体" w:cs="Times New Roman"/>
          <w:bCs/>
          <w:color w:val="auto"/>
          <w:kern w:val="2"/>
          <w:sz w:val="32"/>
          <w:szCs w:val="32"/>
          <w:highlight w:val="none"/>
          <w:lang w:val="en-US" w:eastAsia="zh-CN" w:bidi="ar-SA"/>
        </w:rPr>
        <w:t>行政单位医疗（项）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支出决算为135.71万元，完成预算100%。</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15</w:t>
      </w:r>
      <w:r>
        <w:rPr>
          <w:rStyle w:val="14"/>
          <w:rFonts w:hint="eastAsia" w:ascii="Times New Roman" w:hAnsi="Times New Roman" w:eastAsia="方正仿宋简体" w:cs="Times New Roman"/>
          <w:bCs/>
          <w:color w:val="auto"/>
          <w:kern w:val="2"/>
          <w:sz w:val="32"/>
          <w:szCs w:val="32"/>
          <w:highlight w:val="none"/>
          <w:lang w:val="en-US" w:eastAsia="zh-CN" w:bidi="ar-SA"/>
        </w:rPr>
        <w:t>.卫生健康（类）行政事业单位医疗（款）公务员医疗补助（项）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支出决算为16.01万元，完成预算100%。</w:t>
      </w:r>
    </w:p>
    <w:p>
      <w:pPr>
        <w:spacing w:line="600" w:lineRule="exact"/>
        <w:ind w:firstLine="643" w:firstLineChars="200"/>
        <w:rPr>
          <w:rStyle w:val="14"/>
          <w:rFonts w:hint="eastAsia" w:ascii="Times New Roman" w:hAnsi="Times New Roman" w:eastAsia="方正仿宋简体" w:cs="Times New Roman"/>
          <w:b w:val="0"/>
          <w:bCs/>
          <w:color w:val="auto"/>
          <w:kern w:val="2"/>
          <w:sz w:val="32"/>
          <w:szCs w:val="32"/>
          <w:highlight w:val="none"/>
          <w:lang w:val="en-US" w:eastAsia="zh-CN" w:bidi="ar-SA"/>
        </w:rPr>
      </w:pPr>
      <w:r>
        <w:rPr>
          <w:rStyle w:val="14"/>
          <w:rFonts w:hint="eastAsia" w:eastAsia="方正仿宋简体" w:cs="Times New Roman"/>
          <w:bCs/>
          <w:color w:val="auto"/>
          <w:kern w:val="2"/>
          <w:sz w:val="32"/>
          <w:szCs w:val="32"/>
          <w:highlight w:val="none"/>
          <w:lang w:val="en-US" w:eastAsia="zh-CN" w:bidi="ar-SA"/>
        </w:rPr>
        <w:t>16</w:t>
      </w:r>
      <w:r>
        <w:rPr>
          <w:rStyle w:val="14"/>
          <w:rFonts w:hint="eastAsia" w:ascii="Times New Roman" w:hAnsi="Times New Roman" w:eastAsia="方正仿宋简体" w:cs="Times New Roman"/>
          <w:bCs/>
          <w:color w:val="auto"/>
          <w:kern w:val="2"/>
          <w:sz w:val="32"/>
          <w:szCs w:val="32"/>
          <w:highlight w:val="none"/>
          <w:lang w:val="en-US" w:eastAsia="zh-CN" w:bidi="ar-SA"/>
        </w:rPr>
        <w:t>.住房保障支出（类）住房改革支出（款）住房公积金（项）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167</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93</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p>
    <w:p>
      <w:pPr>
        <w:spacing w:line="600" w:lineRule="exact"/>
        <w:ind w:firstLine="643" w:firstLineChars="200"/>
        <w:rPr>
          <w:rFonts w:ascii="仿宋" w:hAnsi="仿宋" w:eastAsia="仿宋"/>
          <w:b/>
          <w:color w:val="auto"/>
          <w:sz w:val="32"/>
          <w:szCs w:val="32"/>
          <w:highlight w:val="none"/>
        </w:rPr>
      </w:pPr>
      <w:r>
        <w:rPr>
          <w:rStyle w:val="14"/>
          <w:rFonts w:hint="eastAsia" w:eastAsia="方正仿宋简体" w:cs="Times New Roman"/>
          <w:bCs/>
          <w:color w:val="auto"/>
          <w:kern w:val="2"/>
          <w:sz w:val="32"/>
          <w:szCs w:val="32"/>
          <w:highlight w:val="none"/>
          <w:lang w:val="en-US" w:eastAsia="zh-CN" w:bidi="ar-SA"/>
        </w:rPr>
        <w:t>17</w:t>
      </w:r>
      <w:r>
        <w:rPr>
          <w:rStyle w:val="14"/>
          <w:rFonts w:hint="eastAsia" w:ascii="Times New Roman" w:hAnsi="Times New Roman" w:eastAsia="方正仿宋简体" w:cs="Times New Roman"/>
          <w:bCs/>
          <w:color w:val="auto"/>
          <w:kern w:val="2"/>
          <w:sz w:val="32"/>
          <w:szCs w:val="32"/>
          <w:highlight w:val="none"/>
          <w:lang w:val="en-US" w:eastAsia="zh-CN" w:bidi="ar-SA"/>
        </w:rPr>
        <w:t>.住房保障支出（类）住房改革支出（款）购房补贴（项）</w:t>
      </w:r>
      <w:r>
        <w:rPr>
          <w:rStyle w:val="14"/>
          <w:rFonts w:hint="eastAsia" w:eastAsia="方正仿宋简体" w:cs="Times New Roman"/>
          <w:bCs/>
          <w:color w:val="auto"/>
          <w:kern w:val="2"/>
          <w:sz w:val="32"/>
          <w:szCs w:val="32"/>
          <w:highlight w:val="none"/>
          <w:lang w:val="en-US" w:eastAsia="zh-CN" w:bidi="ar-SA"/>
        </w:rPr>
        <w:t>：</w:t>
      </w:r>
      <w:r>
        <w:rPr>
          <w:rStyle w:val="14"/>
          <w:rFonts w:hint="eastAsia" w:ascii="Times New Roman" w:hAnsi="Times New Roman" w:eastAsia="方正仿宋简体" w:cs="Times New Roman"/>
          <w:b w:val="0"/>
          <w:bCs/>
          <w:color w:val="auto"/>
          <w:kern w:val="2"/>
          <w:sz w:val="32"/>
          <w:szCs w:val="32"/>
          <w:highlight w:val="none"/>
          <w:lang w:val="en-US" w:eastAsia="zh-CN" w:bidi="ar-SA"/>
        </w:rPr>
        <w:t>支出决算为</w:t>
      </w:r>
      <w:r>
        <w:rPr>
          <w:rStyle w:val="14"/>
          <w:rFonts w:hint="eastAsia" w:eastAsia="方正仿宋简体" w:cs="Times New Roman"/>
          <w:b w:val="0"/>
          <w:bCs/>
          <w:color w:val="auto"/>
          <w:kern w:val="2"/>
          <w:sz w:val="32"/>
          <w:szCs w:val="32"/>
          <w:highlight w:val="none"/>
          <w:lang w:val="en-US" w:eastAsia="zh-CN" w:bidi="ar-SA"/>
        </w:rPr>
        <w:t>202</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Style w:val="14"/>
          <w:rFonts w:hint="eastAsia" w:eastAsia="方正仿宋简体" w:cs="Times New Roman"/>
          <w:b w:val="0"/>
          <w:bCs/>
          <w:color w:val="auto"/>
          <w:kern w:val="2"/>
          <w:sz w:val="32"/>
          <w:szCs w:val="32"/>
          <w:highlight w:val="none"/>
          <w:lang w:val="en-US" w:eastAsia="zh-CN" w:bidi="ar-SA"/>
        </w:rPr>
        <w:t>48</w:t>
      </w:r>
      <w:r>
        <w:rPr>
          <w:rStyle w:val="14"/>
          <w:rFonts w:hint="eastAsia" w:ascii="Times New Roman" w:hAnsi="Times New Roman" w:eastAsia="方正仿宋简体" w:cs="Times New Roman"/>
          <w:b w:val="0"/>
          <w:bCs/>
          <w:color w:val="auto"/>
          <w:kern w:val="2"/>
          <w:sz w:val="32"/>
          <w:szCs w:val="32"/>
          <w:highlight w:val="none"/>
          <w:lang w:val="en-US" w:eastAsia="zh-CN" w:bidi="ar-SA"/>
        </w:rPr>
        <w:t>万元，完成预算100%。</w:t>
      </w:r>
    </w:p>
    <w:p>
      <w:pPr>
        <w:pageBreakBefore w:val="0"/>
        <w:tabs>
          <w:tab w:val="right" w:pos="8306"/>
        </w:tabs>
        <w:kinsoku/>
        <w:wordWrap/>
        <w:overflowPunct/>
        <w:topLinePunct w:val="0"/>
        <w:bidi w:val="0"/>
        <w:snapToGrid/>
        <w:spacing w:line="600" w:lineRule="exact"/>
        <w:ind w:firstLine="640"/>
        <w:textAlignment w:val="auto"/>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22</w:t>
      </w:r>
      <w:r>
        <w:rPr>
          <w:rFonts w:hint="eastAsia" w:ascii="Times New Roman" w:hAnsi="Times New Roman" w:eastAsia="方正仿宋简体" w:cs="Times New Roman"/>
          <w:color w:val="auto"/>
          <w:sz w:val="32"/>
          <w:szCs w:val="32"/>
          <w:highlight w:val="none"/>
        </w:rPr>
        <w:t>年一般公共预算财政拨款基本支出</w:t>
      </w:r>
      <w:r>
        <w:rPr>
          <w:rFonts w:hint="eastAsia" w:eastAsia="方正仿宋简体" w:cs="Times New Roman"/>
          <w:color w:val="auto"/>
          <w:sz w:val="32"/>
          <w:szCs w:val="32"/>
          <w:highlight w:val="none"/>
          <w:lang w:val="en-US" w:eastAsia="zh-CN"/>
        </w:rPr>
        <w:t>2</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eastAsia" w:eastAsia="方正仿宋简体" w:cs="Times New Roman"/>
          <w:color w:val="auto"/>
          <w:sz w:val="32"/>
          <w:szCs w:val="32"/>
          <w:highlight w:val="none"/>
          <w:lang w:val="en-US" w:eastAsia="zh-CN"/>
        </w:rPr>
        <w:t>974</w:t>
      </w:r>
      <w:r>
        <w:rPr>
          <w:rFonts w:hint="eastAsia" w:ascii="Times New Roman" w:hAnsi="Times New Roman" w:eastAsia="方正仿宋简体" w:cs="Times New Roman"/>
          <w:color w:val="auto"/>
          <w:sz w:val="32"/>
          <w:szCs w:val="32"/>
          <w:highlight w:val="none"/>
          <w:lang w:val="en-US" w:eastAsia="zh-CN"/>
        </w:rPr>
        <w:t>.</w:t>
      </w:r>
      <w:r>
        <w:rPr>
          <w:rFonts w:hint="eastAsia" w:eastAsia="方正仿宋简体" w:cs="Times New Roman"/>
          <w:color w:val="auto"/>
          <w:sz w:val="32"/>
          <w:szCs w:val="32"/>
          <w:highlight w:val="none"/>
          <w:lang w:val="en-US" w:eastAsia="zh-CN"/>
        </w:rPr>
        <w:t>25</w:t>
      </w:r>
      <w:r>
        <w:rPr>
          <w:rFonts w:hint="eastAsia" w:ascii="Times New Roman" w:hAnsi="Times New Roman" w:eastAsia="方正仿宋简体" w:cs="Times New Roman"/>
          <w:color w:val="auto"/>
          <w:sz w:val="32"/>
          <w:szCs w:val="32"/>
          <w:highlight w:val="none"/>
        </w:rPr>
        <w:t>万元，其中：</w:t>
      </w:r>
    </w:p>
    <w:p>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人员经费</w:t>
      </w:r>
      <w:r>
        <w:rPr>
          <w:rFonts w:hint="default" w:ascii="Times New Roman" w:hAnsi="Times New Roman" w:eastAsia="方正仿宋简体" w:cs="Times New Roman"/>
          <w:color w:val="auto"/>
          <w:sz w:val="32"/>
          <w:szCs w:val="32"/>
          <w:highlight w:val="none"/>
          <w:lang w:val="en-US" w:eastAsia="zh-CN"/>
        </w:rPr>
        <w:t>2</w:t>
      </w:r>
      <w:r>
        <w:rPr>
          <w:rStyle w:val="14"/>
          <w:rFonts w:hint="eastAsia" w:ascii="Times New Roman" w:hAnsi="Times New Roman" w:eastAsia="方正仿宋简体"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sz w:val="32"/>
          <w:szCs w:val="32"/>
          <w:highlight w:val="none"/>
          <w:lang w:val="en-US" w:eastAsia="zh-CN"/>
        </w:rPr>
        <w:t>401.44</w:t>
      </w:r>
      <w:r>
        <w:rPr>
          <w:rFonts w:hint="default" w:ascii="Times New Roman" w:hAnsi="Times New Roman" w:eastAsia="方正仿宋简体" w:cs="Times New Roman"/>
          <w:color w:val="auto"/>
          <w:sz w:val="32"/>
          <w:szCs w:val="32"/>
          <w:highlight w:val="none"/>
        </w:rPr>
        <w:t>万元，主要包括：基本工资、津贴补贴、奖金</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机关事业单位基本养老保险缴费、职业年金缴费、职工基本医疗保险缴费</w:t>
      </w:r>
      <w:r>
        <w:rPr>
          <w:rFonts w:hint="eastAsia" w:ascii="Times New Roman" w:hAnsi="Times New Roman" w:eastAsia="方正仿宋简体" w:cs="Times New Roman"/>
          <w:color w:val="auto"/>
          <w:sz w:val="32"/>
          <w:szCs w:val="32"/>
          <w:highlight w:val="none"/>
          <w:lang w:eastAsia="zh-CN"/>
        </w:rPr>
        <w:t>、公务员医疗补助缴费、</w:t>
      </w:r>
      <w:r>
        <w:rPr>
          <w:rFonts w:hint="default" w:ascii="Times New Roman" w:hAnsi="Times New Roman" w:eastAsia="方正仿宋简体" w:cs="Times New Roman"/>
          <w:color w:val="auto"/>
          <w:sz w:val="32"/>
          <w:szCs w:val="32"/>
          <w:highlight w:val="none"/>
        </w:rPr>
        <w:t>其他社会保障缴费、住房公积金、其他工资福利支出、奖励金、其他对个人和家庭的补助支出等。</w:t>
      </w:r>
    </w:p>
    <w:p>
      <w:pPr>
        <w:pageBreakBefore w:val="0"/>
        <w:kinsoku/>
        <w:wordWrap/>
        <w:overflowPunct/>
        <w:topLinePunct w:val="0"/>
        <w:bidi w:val="0"/>
        <w:snapToGrid/>
        <w:spacing w:line="600" w:lineRule="exact"/>
        <w:ind w:firstLine="645"/>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公用经费</w:t>
      </w:r>
      <w:r>
        <w:rPr>
          <w:rFonts w:hint="default" w:ascii="Times New Roman" w:hAnsi="Times New Roman" w:eastAsia="方正仿宋简体" w:cs="Times New Roman"/>
          <w:color w:val="auto"/>
          <w:sz w:val="32"/>
          <w:szCs w:val="32"/>
          <w:highlight w:val="none"/>
          <w:lang w:val="en-US" w:eastAsia="zh-CN"/>
        </w:rPr>
        <w:t>572.81</w:t>
      </w:r>
      <w:r>
        <w:rPr>
          <w:rFonts w:hint="default" w:ascii="Times New Roman" w:hAnsi="Times New Roman" w:eastAsia="方正仿宋简体" w:cs="Times New Roman"/>
          <w:color w:val="auto"/>
          <w:sz w:val="32"/>
          <w:szCs w:val="32"/>
          <w:highlight w:val="none"/>
        </w:rPr>
        <w:t>万元，主要包括：办公费、</w:t>
      </w:r>
      <w:r>
        <w:rPr>
          <w:rFonts w:hint="eastAsia" w:ascii="Times New Roman" w:hAnsi="Times New Roman" w:eastAsia="方正仿宋简体" w:cs="Times New Roman"/>
          <w:color w:val="auto"/>
          <w:sz w:val="32"/>
          <w:szCs w:val="32"/>
          <w:highlight w:val="none"/>
          <w:lang w:eastAsia="zh-CN"/>
        </w:rPr>
        <w:t>印刷费、</w:t>
      </w:r>
      <w:r>
        <w:rPr>
          <w:rFonts w:hint="default" w:ascii="Times New Roman" w:hAnsi="Times New Roman" w:eastAsia="方正仿宋简体" w:cs="Times New Roman"/>
          <w:color w:val="auto"/>
          <w:sz w:val="32"/>
          <w:szCs w:val="32"/>
          <w:highlight w:val="none"/>
        </w:rPr>
        <w:t>手续费、水费、电费、邮电费、物业管理费、差旅费、</w:t>
      </w:r>
      <w:r>
        <w:rPr>
          <w:rFonts w:hint="eastAsia" w:eastAsia="方正仿宋简体" w:cs="Times New Roman"/>
          <w:color w:val="auto"/>
          <w:sz w:val="32"/>
          <w:szCs w:val="32"/>
          <w:highlight w:val="none"/>
          <w:lang w:eastAsia="zh-CN"/>
        </w:rPr>
        <w:t>租赁费、</w:t>
      </w:r>
      <w:r>
        <w:rPr>
          <w:rFonts w:hint="default" w:ascii="Times New Roman" w:hAnsi="Times New Roman" w:eastAsia="方正仿宋简体" w:cs="Times New Roman"/>
          <w:color w:val="auto"/>
          <w:sz w:val="32"/>
          <w:szCs w:val="32"/>
          <w:highlight w:val="none"/>
        </w:rPr>
        <w:t>会议费、培训费、公务接待费、工会经费、福利费、公务用车运行维护费、</w:t>
      </w:r>
      <w:r>
        <w:rPr>
          <w:rFonts w:hint="eastAsia" w:ascii="Times New Roman" w:hAnsi="Times New Roman" w:eastAsia="方正仿宋简体" w:cs="Times New Roman"/>
          <w:color w:val="auto"/>
          <w:sz w:val="32"/>
          <w:szCs w:val="32"/>
          <w:highlight w:val="none"/>
          <w:lang w:eastAsia="zh-CN"/>
        </w:rPr>
        <w:t>其他交通费用、</w:t>
      </w:r>
      <w:r>
        <w:rPr>
          <w:rFonts w:hint="default" w:ascii="Times New Roman" w:hAnsi="Times New Roman" w:eastAsia="方正仿宋简体" w:cs="Times New Roman"/>
          <w:color w:val="auto"/>
          <w:sz w:val="32"/>
          <w:szCs w:val="32"/>
          <w:highlight w:val="none"/>
        </w:rPr>
        <w:t>其他商品和服务支出等。</w:t>
      </w:r>
    </w:p>
    <w:p>
      <w:pPr>
        <w:pageBreakBefore w:val="0"/>
        <w:kinsoku/>
        <w:wordWrap/>
        <w:overflowPunct/>
        <w:topLinePunct w:val="0"/>
        <w:bidi w:val="0"/>
        <w:snapToGrid/>
        <w:spacing w:line="600" w:lineRule="exact"/>
        <w:ind w:firstLine="640"/>
        <w:textAlignment w:val="auto"/>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8" w:name="_Toc15377216"/>
      <w:r>
        <w:rPr>
          <w:rFonts w:hint="eastAsia" w:ascii="Times New Roman" w:hAnsi="Times New Roman" w:eastAsia="方正楷体简体" w:cs="Times New Roman"/>
          <w:b/>
          <w:color w:val="auto"/>
          <w:sz w:val="32"/>
          <w:szCs w:val="32"/>
          <w:highlight w:val="none"/>
        </w:rPr>
        <w:t>（一）“三公”经费财政拨款支出决算总体情况说明</w:t>
      </w:r>
      <w:bookmarkEnd w:id="38"/>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eastAsia" w:ascii="Times New Roman" w:hAnsi="Times New Roman" w:eastAsia="方正仿宋简体" w:cs="Times New Roman"/>
          <w:color w:val="auto"/>
          <w:sz w:val="32"/>
          <w:szCs w:val="32"/>
          <w:highlight w:val="none"/>
          <w:lang w:val="en-US" w:eastAsia="zh-CN"/>
        </w:rPr>
        <w:t>22</w:t>
      </w:r>
      <w:r>
        <w:rPr>
          <w:rFonts w:hint="eastAsia" w:ascii="Times New Roman" w:hAnsi="Times New Roman" w:eastAsia="方正仿宋简体" w:cs="Times New Roman"/>
          <w:color w:val="auto"/>
          <w:sz w:val="32"/>
          <w:szCs w:val="32"/>
          <w:highlight w:val="none"/>
        </w:rPr>
        <w:t>年“三公”经费财政拨款支出决算为</w:t>
      </w:r>
      <w:r>
        <w:rPr>
          <w:rFonts w:hint="eastAsia" w:ascii="Times New Roman" w:hAnsi="Times New Roman" w:eastAsia="方正仿宋简体" w:cs="Times New Roman"/>
          <w:color w:val="auto"/>
          <w:sz w:val="32"/>
          <w:szCs w:val="32"/>
          <w:highlight w:val="none"/>
          <w:lang w:val="en-US" w:eastAsia="zh-CN"/>
        </w:rPr>
        <w:t>24.33</w:t>
      </w:r>
      <w:r>
        <w:rPr>
          <w:rFonts w:hint="eastAsia"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较上年增加</w:t>
      </w:r>
      <w:r>
        <w:rPr>
          <w:rFonts w:hint="eastAsia" w:ascii="Times New Roman" w:hAnsi="Times New Roman" w:eastAsia="方正仿宋简体" w:cs="Times New Roman"/>
          <w:color w:val="auto"/>
          <w:sz w:val="32"/>
          <w:szCs w:val="32"/>
          <w:highlight w:val="none"/>
          <w:lang w:val="en-US" w:eastAsia="zh-CN"/>
        </w:rPr>
        <w:t>6.66万元，增长37.69%。</w:t>
      </w:r>
      <w:r>
        <w:rPr>
          <w:rFonts w:hint="eastAsia" w:ascii="Times New Roman" w:hAnsi="Times New Roman" w:eastAsia="方正仿宋简体" w:cs="Times New Roman"/>
          <w:color w:val="auto"/>
          <w:sz w:val="32"/>
          <w:szCs w:val="32"/>
          <w:highlight w:val="none"/>
        </w:rPr>
        <w:t>完成预算</w:t>
      </w:r>
      <w:r>
        <w:rPr>
          <w:rFonts w:hint="eastAsia" w:eastAsia="方正仿宋简体" w:cs="Times New Roman"/>
          <w:color w:val="auto"/>
          <w:sz w:val="32"/>
          <w:szCs w:val="32"/>
          <w:highlight w:val="none"/>
          <w:lang w:val="en-US" w:eastAsia="zh-CN"/>
        </w:rPr>
        <w:t>93.9</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rPr>
        <w:t>，</w:t>
      </w:r>
      <w:r>
        <w:rPr>
          <w:rFonts w:hint="eastAsia" w:eastAsia="方正仿宋简体" w:cs="Times New Roman"/>
          <w:color w:val="auto"/>
          <w:sz w:val="32"/>
          <w:szCs w:val="32"/>
          <w:highlight w:val="none"/>
          <w:lang w:eastAsia="zh-CN"/>
        </w:rPr>
        <w:t>决算数小于预算数的主要原因是</w:t>
      </w:r>
      <w:r>
        <w:rPr>
          <w:rStyle w:val="14"/>
          <w:rFonts w:hint="eastAsia" w:eastAsia="方正仿宋简体" w:cs="Times New Roman"/>
          <w:b w:val="0"/>
          <w:bCs/>
          <w:color w:val="auto"/>
          <w:kern w:val="2"/>
          <w:sz w:val="32"/>
          <w:szCs w:val="32"/>
          <w:highlight w:val="none"/>
          <w:lang w:val="en-US" w:eastAsia="zh-CN" w:bidi="ar-SA"/>
        </w:rPr>
        <w:t>公务接待任务减少，</w:t>
      </w:r>
      <w:r>
        <w:rPr>
          <w:rStyle w:val="14"/>
          <w:rFonts w:hint="eastAsia" w:ascii="Times New Roman" w:hAnsi="Times New Roman" w:eastAsia="方正仿宋简体" w:cs="Times New Roman"/>
          <w:b w:val="0"/>
          <w:bCs/>
          <w:color w:val="auto"/>
          <w:kern w:val="2"/>
          <w:sz w:val="32"/>
          <w:szCs w:val="32"/>
          <w:highlight w:val="none"/>
          <w:lang w:val="en-US" w:eastAsia="zh-CN" w:bidi="ar-SA"/>
        </w:rPr>
        <w:t>公务接待费减</w:t>
      </w:r>
      <w:r>
        <w:rPr>
          <w:rStyle w:val="14"/>
          <w:rFonts w:hint="eastAsia" w:eastAsia="方正仿宋简体" w:cs="Times New Roman"/>
          <w:b w:val="0"/>
          <w:bCs/>
          <w:color w:val="auto"/>
          <w:kern w:val="2"/>
          <w:sz w:val="32"/>
          <w:szCs w:val="32"/>
          <w:highlight w:val="none"/>
          <w:lang w:val="en-US" w:eastAsia="zh-CN" w:bidi="ar-SA"/>
        </w:rPr>
        <w:t>少。</w:t>
      </w:r>
    </w:p>
    <w:p>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39" w:name="_Toc15377217"/>
      <w:r>
        <w:rPr>
          <w:rFonts w:hint="eastAsia" w:ascii="Times New Roman" w:hAnsi="Times New Roman" w:eastAsia="方正楷体简体" w:cs="Times New Roman"/>
          <w:b/>
          <w:color w:val="auto"/>
          <w:sz w:val="32"/>
          <w:szCs w:val="32"/>
          <w:highlight w:val="none"/>
        </w:rPr>
        <w:t>（二）“三公”经费财政拨款支出决算具体情况说明</w:t>
      </w:r>
      <w:bookmarkEnd w:id="39"/>
    </w:p>
    <w:p>
      <w:pPr>
        <w:pageBreakBefore w:val="0"/>
        <w:kinsoku/>
        <w:wordWrap/>
        <w:overflowPunct/>
        <w:topLinePunct w:val="0"/>
        <w:bidi w:val="0"/>
        <w:snapToGrid/>
        <w:spacing w:line="600" w:lineRule="exact"/>
        <w:ind w:firstLine="640"/>
        <w:textAlignment w:val="auto"/>
        <w:rPr>
          <w:rFonts w:ascii="仿宋" w:hAnsi="仿宋" w:eastAsia="仿宋"/>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年“三公”经费财政拨款支出决算中，因公出国（境）费支出决算</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%；公务用车购置及运行维护费支出决算</w:t>
      </w:r>
      <w:r>
        <w:rPr>
          <w:rFonts w:hint="default" w:ascii="Times New Roman" w:hAnsi="Times New Roman" w:eastAsia="方正仿宋简体" w:cs="Times New Roman"/>
          <w:color w:val="auto"/>
          <w:sz w:val="32"/>
          <w:szCs w:val="32"/>
          <w:highlight w:val="none"/>
          <w:lang w:val="en-US" w:eastAsia="zh-CN"/>
        </w:rPr>
        <w:t>23.91</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98.</w:t>
      </w:r>
      <w:r>
        <w:rPr>
          <w:rFonts w:hint="eastAsia" w:eastAsia="方正仿宋简体" w:cs="Times New Roman"/>
          <w:color w:val="auto"/>
          <w:sz w:val="32"/>
          <w:szCs w:val="32"/>
          <w:highlight w:val="none"/>
          <w:lang w:val="en-US" w:eastAsia="zh-CN"/>
        </w:rPr>
        <w:t>27</w:t>
      </w:r>
      <w:r>
        <w:rPr>
          <w:rFonts w:hint="default" w:ascii="Times New Roman" w:hAnsi="Times New Roman" w:eastAsia="方正仿宋简体" w:cs="Times New Roman"/>
          <w:color w:val="auto"/>
          <w:sz w:val="32"/>
          <w:szCs w:val="32"/>
          <w:highlight w:val="none"/>
        </w:rPr>
        <w:t>%；公务接待费支出决算</w:t>
      </w:r>
      <w:r>
        <w:rPr>
          <w:rFonts w:hint="default" w:ascii="Times New Roman" w:hAnsi="Times New Roman" w:eastAsia="方正仿宋简体" w:cs="Times New Roman"/>
          <w:color w:val="auto"/>
          <w:sz w:val="32"/>
          <w:szCs w:val="32"/>
          <w:highlight w:val="none"/>
          <w:lang w:val="en-US" w:eastAsia="zh-CN"/>
        </w:rPr>
        <w:t>0.42</w:t>
      </w:r>
      <w:r>
        <w:rPr>
          <w:rFonts w:hint="default" w:ascii="Times New Roman" w:hAnsi="Times New Roman" w:eastAsia="方正仿宋简体" w:cs="Times New Roman"/>
          <w:color w:val="auto"/>
          <w:sz w:val="32"/>
          <w:szCs w:val="32"/>
          <w:highlight w:val="none"/>
        </w:rPr>
        <w:t>万元，占</w:t>
      </w:r>
      <w:r>
        <w:rPr>
          <w:rFonts w:hint="default" w:ascii="Times New Roman" w:hAnsi="Times New Roman" w:eastAsia="方正仿宋简体" w:cs="Times New Roman"/>
          <w:color w:val="auto"/>
          <w:sz w:val="32"/>
          <w:szCs w:val="32"/>
          <w:highlight w:val="none"/>
          <w:lang w:val="en-US" w:eastAsia="zh-CN"/>
        </w:rPr>
        <w:t>1.7</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%。具体情况如下：</w:t>
      </w: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r>
        <w:rPr>
          <w:rFonts w:hint="eastAsia" w:ascii="仿宋" w:hAnsi="仿宋" w:eastAsia="仿宋"/>
          <w:color w:val="000000"/>
          <w:sz w:val="32"/>
          <w:szCs w:val="32"/>
        </w:rPr>
        <w:drawing>
          <wp:anchor distT="0" distB="0" distL="114300" distR="114300" simplePos="0" relativeHeight="251666432" behindDoc="1" locked="0" layoutInCell="1" allowOverlap="1">
            <wp:simplePos x="0" y="0"/>
            <wp:positionH relativeFrom="column">
              <wp:posOffset>-28575</wp:posOffset>
            </wp:positionH>
            <wp:positionV relativeFrom="paragraph">
              <wp:posOffset>161925</wp:posOffset>
            </wp:positionV>
            <wp:extent cx="5137150" cy="2972435"/>
            <wp:effectExtent l="4445" t="4445" r="20955" b="1397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14:textFill>
            <w14:gradFill>
              <w14:gsLst>
                <w14:gs w14:pos="0">
                  <w14:srgbClr w14:val="FBFB11"/>
                </w14:gs>
                <w14:gs w14:pos="100000">
                  <w14:srgbClr w14:val="838309"/>
                </w14:gs>
              </w14:gsLst>
              <w14:lin w14:ang="2700000" w14:scaled="0"/>
            </w14:gradFill>
          </w14:textFill>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p>
    <w:p>
      <w:pPr>
        <w:pageBreakBefore w:val="0"/>
        <w:kinsoku/>
        <w:wordWrap/>
        <w:overflowPunct/>
        <w:topLinePunct w:val="0"/>
        <w:bidi w:val="0"/>
        <w:snapToGrid/>
        <w:spacing w:line="600" w:lineRule="exact"/>
        <w:ind w:firstLine="640"/>
        <w:jc w:val="center"/>
        <w:textAlignment w:val="auto"/>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图7：“三公”经费财政拨款支出结构</w:t>
      </w:r>
    </w:p>
    <w:p>
      <w:pPr>
        <w:spacing w:line="600" w:lineRule="exact"/>
        <w:ind w:firstLine="643"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1.因公出国（境）经费支出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全年安排因公出国（境）团组</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次，出国（境）</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w:t>
      </w:r>
      <w:r>
        <w:rPr>
          <w:rFonts w:hint="eastAsia" w:ascii="Times New Roman" w:hAnsi="Times New Roman" w:eastAsia="方正仿宋简体" w:cs="Times New Roman"/>
          <w:color w:val="auto"/>
          <w:sz w:val="32"/>
          <w:szCs w:val="32"/>
          <w:highlight w:val="none"/>
        </w:rPr>
        <w:t>因公出国（境）支出决算同202</w:t>
      </w:r>
      <w:r>
        <w:rPr>
          <w:rFonts w:hint="eastAsia" w:eastAsia="方正仿宋简体" w:cs="Times New Roman"/>
          <w:color w:val="auto"/>
          <w:sz w:val="32"/>
          <w:szCs w:val="32"/>
          <w:highlight w:val="none"/>
          <w:lang w:val="en-US" w:eastAsia="zh-CN"/>
        </w:rPr>
        <w:t>1</w:t>
      </w:r>
      <w:r>
        <w:rPr>
          <w:rFonts w:hint="eastAsia" w:ascii="Times New Roman" w:hAnsi="Times New Roman" w:eastAsia="方正仿宋简体" w:cs="Times New Roman"/>
          <w:color w:val="auto"/>
          <w:sz w:val="32"/>
          <w:szCs w:val="32"/>
          <w:highlight w:val="none"/>
        </w:rPr>
        <w:t>年一致，均为0万元。主要原因是受疫情影响，我厅本年未安排出国（境）活动。</w:t>
      </w:r>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2.公务用车购置及运行维护费支出</w:t>
      </w:r>
      <w:r>
        <w:rPr>
          <w:rFonts w:hint="default" w:ascii="Times New Roman" w:hAnsi="Times New Roman" w:eastAsia="方正仿宋简体" w:cs="Times New Roman"/>
          <w:color w:val="auto"/>
          <w:sz w:val="32"/>
          <w:szCs w:val="32"/>
          <w:highlight w:val="none"/>
          <w:lang w:val="en-US" w:eastAsia="zh-CN"/>
        </w:rPr>
        <w:t>23.91</w:t>
      </w:r>
      <w:r>
        <w:rPr>
          <w:rFonts w:hint="default" w:ascii="Times New Roman" w:hAnsi="Times New Roman" w:eastAsia="方正仿宋简体" w:cs="Times New Roman"/>
          <w:color w:val="auto"/>
          <w:sz w:val="32"/>
          <w:szCs w:val="32"/>
          <w:highlight w:val="none"/>
        </w:rPr>
        <w:t>万元,</w:t>
      </w:r>
      <w:r>
        <w:rPr>
          <w:rStyle w:val="14"/>
          <w:rFonts w:hint="default" w:ascii="Times New Roman" w:hAnsi="Times New Roman" w:eastAsia="方正仿宋简体" w:cs="Times New Roman"/>
          <w:b w:val="0"/>
          <w:bCs/>
          <w:color w:val="auto"/>
          <w:sz w:val="32"/>
          <w:szCs w:val="32"/>
          <w:highlight w:val="none"/>
        </w:rPr>
        <w:t>完成预算</w:t>
      </w:r>
      <w:r>
        <w:rPr>
          <w:rStyle w:val="14"/>
          <w:rFonts w:hint="eastAsia" w:ascii="Times New Roman" w:hAnsi="Times New Roman" w:eastAsia="方正仿宋简体" w:cs="Times New Roman"/>
          <w:b w:val="0"/>
          <w:bCs/>
          <w:color w:val="auto"/>
          <w:sz w:val="32"/>
          <w:szCs w:val="32"/>
          <w:highlight w:val="none"/>
          <w:lang w:val="en-US" w:eastAsia="zh-CN"/>
        </w:rPr>
        <w:t>100</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公务用车购置及运行维护费支出决算比20</w:t>
      </w:r>
      <w:r>
        <w:rPr>
          <w:rFonts w:hint="default" w:ascii="Times New Roman" w:hAnsi="Times New Roman" w:eastAsia="方正仿宋简体" w:cs="Times New Roman"/>
          <w:color w:val="auto"/>
          <w:sz w:val="32"/>
          <w:szCs w:val="32"/>
          <w:highlight w:val="none"/>
          <w:lang w:val="en-US" w:eastAsia="zh-CN"/>
        </w:rPr>
        <w:t>21</w:t>
      </w:r>
      <w:r>
        <w:rPr>
          <w:rFonts w:hint="default" w:ascii="Times New Roman" w:hAnsi="Times New Roman" w:eastAsia="方正仿宋简体" w:cs="Times New Roman"/>
          <w:color w:val="auto"/>
          <w:sz w:val="32"/>
          <w:szCs w:val="32"/>
          <w:highlight w:val="none"/>
        </w:rPr>
        <w:t>年增加</w:t>
      </w:r>
      <w:r>
        <w:rPr>
          <w:rFonts w:hint="eastAsia" w:ascii="Times New Roman" w:hAnsi="Times New Roman" w:eastAsia="方正仿宋简体" w:cs="Times New Roman"/>
          <w:color w:val="auto"/>
          <w:sz w:val="32"/>
          <w:szCs w:val="32"/>
          <w:highlight w:val="none"/>
          <w:lang w:val="en-US" w:eastAsia="zh-CN"/>
        </w:rPr>
        <w:t>7.64</w:t>
      </w:r>
      <w:r>
        <w:rPr>
          <w:rFonts w:hint="default" w:ascii="Times New Roman" w:hAnsi="Times New Roman" w:eastAsia="方正仿宋简体" w:cs="Times New Roman"/>
          <w:color w:val="auto"/>
          <w:sz w:val="32"/>
          <w:szCs w:val="32"/>
          <w:highlight w:val="none"/>
        </w:rPr>
        <w:t>万元，增长</w:t>
      </w:r>
      <w:r>
        <w:rPr>
          <w:rFonts w:hint="eastAsia" w:ascii="Times New Roman" w:hAnsi="Times New Roman" w:eastAsia="方正仿宋简体" w:cs="Times New Roman"/>
          <w:color w:val="auto"/>
          <w:sz w:val="32"/>
          <w:szCs w:val="32"/>
          <w:highlight w:val="none"/>
          <w:lang w:val="en-US" w:eastAsia="zh-CN"/>
        </w:rPr>
        <w:t>46.96</w:t>
      </w:r>
      <w:r>
        <w:rPr>
          <w:rFonts w:hint="default" w:ascii="Times New Roman" w:hAnsi="Times New Roman" w:eastAsia="方正仿宋简体" w:cs="Times New Roman"/>
          <w:color w:val="auto"/>
          <w:sz w:val="32"/>
          <w:szCs w:val="32"/>
          <w:highlight w:val="none"/>
        </w:rPr>
        <w:t>%。主要原因是</w:t>
      </w:r>
      <w:r>
        <w:rPr>
          <w:rFonts w:hint="eastAsia" w:ascii="Times New Roman" w:hAnsi="Times New Roman" w:eastAsia="方正仿宋简体" w:cs="Times New Roman"/>
          <w:color w:val="auto"/>
          <w:sz w:val="32"/>
          <w:szCs w:val="32"/>
          <w:highlight w:val="none"/>
          <w:lang w:eastAsia="zh-CN"/>
        </w:rPr>
        <w:t>根据省机关事务管理局审批增加一辆公务用车大修费用</w:t>
      </w:r>
      <w:r>
        <w:rPr>
          <w:rFonts w:hint="default"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b/>
          <w:color w:val="auto"/>
          <w:sz w:val="32"/>
          <w:szCs w:val="32"/>
          <w:highlight w:val="none"/>
          <w:lang w:eastAsia="zh-CN"/>
        </w:rPr>
      </w:pPr>
      <w:r>
        <w:rPr>
          <w:rFonts w:hint="default" w:ascii="Times New Roman" w:hAnsi="Times New Roman" w:eastAsia="方正仿宋简体" w:cs="Times New Roman"/>
          <w:color w:val="auto"/>
          <w:sz w:val="32"/>
          <w:szCs w:val="32"/>
          <w:highlight w:val="none"/>
        </w:rPr>
        <w:t>其中：</w:t>
      </w:r>
      <w:r>
        <w:rPr>
          <w:rFonts w:hint="default" w:ascii="Times New Roman" w:hAnsi="Times New Roman" w:eastAsia="方正仿宋简体" w:cs="Times New Roman"/>
          <w:b/>
          <w:color w:val="auto"/>
          <w:sz w:val="32"/>
          <w:szCs w:val="32"/>
          <w:highlight w:val="none"/>
        </w:rPr>
        <w:t>公务用车购置支出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万元。全年</w:t>
      </w:r>
      <w:r>
        <w:rPr>
          <w:rFonts w:hint="eastAsia" w:eastAsia="方正仿宋简体" w:cs="Times New Roman"/>
          <w:color w:val="auto"/>
          <w:sz w:val="32"/>
          <w:szCs w:val="32"/>
          <w:highlight w:val="none"/>
          <w:lang w:eastAsia="zh-CN"/>
        </w:rPr>
        <w:t>按规定</w:t>
      </w:r>
      <w:r>
        <w:rPr>
          <w:rFonts w:hint="default" w:ascii="Times New Roman" w:hAnsi="Times New Roman" w:eastAsia="方正仿宋简体" w:cs="Times New Roman"/>
          <w:color w:val="auto"/>
          <w:sz w:val="32"/>
          <w:szCs w:val="32"/>
          <w:highlight w:val="none"/>
        </w:rPr>
        <w:t>更新购置公务用车</w:t>
      </w:r>
      <w:r>
        <w:rPr>
          <w:rFonts w:hint="eastAsia" w:eastAsia="方正仿宋简体" w:cs="Times New Roman"/>
          <w:color w:val="auto"/>
          <w:sz w:val="32"/>
          <w:szCs w:val="32"/>
          <w:highlight w:val="none"/>
          <w:lang w:val="en-US" w:eastAsia="zh-CN"/>
        </w:rPr>
        <w:t>0辆</w:t>
      </w:r>
      <w:r>
        <w:rPr>
          <w:rFonts w:hint="default" w:ascii="Times New Roman" w:hAnsi="Times New Roman" w:eastAsia="方正仿宋简体" w:cs="Times New Roman"/>
          <w:color w:val="auto"/>
          <w:sz w:val="32"/>
          <w:szCs w:val="32"/>
          <w:highlight w:val="none"/>
        </w:rPr>
        <w:t>。截至20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年12月底，单位共有公务用车</w:t>
      </w:r>
      <w:r>
        <w:rPr>
          <w:rFonts w:hint="default"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rPr>
        <w:t>辆，其中：轿车</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辆、越野车</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辆、载客汽车</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辆。</w:t>
      </w:r>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公务用车运行维护费支出</w:t>
      </w:r>
      <w:r>
        <w:rPr>
          <w:rFonts w:hint="default" w:ascii="Times New Roman" w:hAnsi="Times New Roman" w:eastAsia="方正仿宋简体" w:cs="Times New Roman"/>
          <w:color w:val="auto"/>
          <w:sz w:val="32"/>
          <w:szCs w:val="32"/>
          <w:highlight w:val="none"/>
          <w:lang w:val="en-US" w:eastAsia="zh-CN"/>
        </w:rPr>
        <w:t>23.91</w:t>
      </w:r>
      <w:r>
        <w:rPr>
          <w:rFonts w:hint="default" w:ascii="Times New Roman" w:hAnsi="Times New Roman" w:eastAsia="方正仿宋简体" w:cs="Times New Roman"/>
          <w:color w:val="auto"/>
          <w:sz w:val="32"/>
          <w:szCs w:val="32"/>
          <w:highlight w:val="none"/>
        </w:rPr>
        <w:t>万元。主要用于</w:t>
      </w:r>
      <w:r>
        <w:rPr>
          <w:rFonts w:hint="eastAsia" w:ascii="Times New Roman" w:hAnsi="Times New Roman" w:eastAsia="方正仿宋简体" w:cs="Times New Roman"/>
          <w:color w:val="auto"/>
          <w:sz w:val="32"/>
          <w:szCs w:val="32"/>
          <w:highlight w:val="none"/>
        </w:rPr>
        <w:t>常态化</w:t>
      </w:r>
      <w:r>
        <w:rPr>
          <w:rFonts w:hint="eastAsia" w:eastAsia="方正仿宋简体" w:cs="Times New Roman"/>
          <w:color w:val="auto"/>
          <w:sz w:val="32"/>
          <w:szCs w:val="32"/>
          <w:highlight w:val="none"/>
          <w:lang w:eastAsia="zh-CN"/>
        </w:rPr>
        <w:t>慰问</w:t>
      </w:r>
      <w:r>
        <w:rPr>
          <w:rFonts w:hint="eastAsia" w:ascii="Times New Roman" w:hAnsi="Times New Roman" w:eastAsia="方正仿宋简体" w:cs="Times New Roman"/>
          <w:color w:val="auto"/>
          <w:sz w:val="32"/>
          <w:szCs w:val="32"/>
          <w:highlight w:val="none"/>
        </w:rPr>
        <w:t>退役军人、</w:t>
      </w:r>
      <w:r>
        <w:rPr>
          <w:rFonts w:hint="eastAsia" w:eastAsia="方正仿宋简体" w:cs="Times New Roman"/>
          <w:color w:val="auto"/>
          <w:sz w:val="32"/>
          <w:szCs w:val="32"/>
          <w:highlight w:val="none"/>
          <w:lang w:eastAsia="zh-CN"/>
        </w:rPr>
        <w:t>督查疫情防控、</w:t>
      </w:r>
      <w:r>
        <w:rPr>
          <w:rFonts w:hint="eastAsia" w:ascii="Times New Roman" w:hAnsi="Times New Roman" w:eastAsia="方正仿宋简体" w:cs="Times New Roman"/>
          <w:color w:val="auto"/>
          <w:sz w:val="32"/>
          <w:szCs w:val="32"/>
          <w:highlight w:val="none"/>
        </w:rPr>
        <w:t>调研</w:t>
      </w:r>
      <w:r>
        <w:rPr>
          <w:rFonts w:hint="eastAsia" w:eastAsia="方正仿宋简体" w:cs="Times New Roman"/>
          <w:color w:val="auto"/>
          <w:sz w:val="32"/>
          <w:szCs w:val="32"/>
          <w:highlight w:val="none"/>
          <w:lang w:eastAsia="zh-CN"/>
        </w:rPr>
        <w:t>烈士</w:t>
      </w:r>
      <w:r>
        <w:rPr>
          <w:rFonts w:hint="eastAsia" w:ascii="Times New Roman" w:hAnsi="Times New Roman" w:eastAsia="方正仿宋简体" w:cs="Times New Roman"/>
          <w:color w:val="auto"/>
          <w:sz w:val="32"/>
          <w:szCs w:val="32"/>
          <w:highlight w:val="none"/>
        </w:rPr>
        <w:t>纪念设施、就业创业指导</w:t>
      </w:r>
      <w:r>
        <w:rPr>
          <w:rFonts w:hint="eastAsia" w:ascii="Times New Roman" w:hAnsi="Times New Roman" w:eastAsia="方正仿宋简体" w:cs="Times New Roman"/>
          <w:color w:val="auto"/>
          <w:kern w:val="2"/>
          <w:sz w:val="32"/>
          <w:szCs w:val="32"/>
          <w:highlight w:val="none"/>
          <w:lang w:val="en-US" w:eastAsia="zh-CN" w:bidi="ar-SA"/>
        </w:rPr>
        <w:t>、全国双拥模范城届中考评</w:t>
      </w:r>
      <w:r>
        <w:rPr>
          <w:rFonts w:hint="default" w:ascii="Times New Roman" w:hAnsi="Times New Roman" w:eastAsia="方正仿宋简体" w:cs="Times New Roman"/>
          <w:color w:val="auto"/>
          <w:sz w:val="32"/>
          <w:szCs w:val="32"/>
          <w:highlight w:val="none"/>
        </w:rPr>
        <w:t>等所需的公务用车燃料费、维修费、过路过桥费、保险费等支出。</w:t>
      </w:r>
    </w:p>
    <w:p>
      <w:pPr>
        <w:pageBreakBefore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3.公务接待费支出</w:t>
      </w:r>
      <w:r>
        <w:rPr>
          <w:rFonts w:hint="default" w:ascii="Times New Roman" w:hAnsi="Times New Roman" w:eastAsia="方正仿宋简体" w:cs="Times New Roman"/>
          <w:color w:val="auto"/>
          <w:sz w:val="32"/>
          <w:szCs w:val="32"/>
          <w:highlight w:val="none"/>
          <w:lang w:val="en-US" w:eastAsia="zh-CN"/>
        </w:rPr>
        <w:t>0.42</w:t>
      </w:r>
      <w:r>
        <w:rPr>
          <w:rFonts w:hint="default" w:ascii="Times New Roman" w:hAnsi="Times New Roman" w:eastAsia="方正仿宋简体" w:cs="Times New Roman"/>
          <w:color w:val="auto"/>
          <w:sz w:val="32"/>
          <w:szCs w:val="32"/>
          <w:highlight w:val="none"/>
        </w:rPr>
        <w:t>万元，</w:t>
      </w:r>
      <w:r>
        <w:rPr>
          <w:rStyle w:val="14"/>
          <w:rFonts w:hint="default" w:ascii="Times New Roman" w:hAnsi="Times New Roman" w:eastAsia="方正仿宋简体" w:cs="Times New Roman"/>
          <w:b w:val="0"/>
          <w:bCs/>
          <w:color w:val="auto"/>
          <w:sz w:val="32"/>
          <w:szCs w:val="32"/>
          <w:highlight w:val="none"/>
        </w:rPr>
        <w:t>完成预算</w:t>
      </w:r>
      <w:r>
        <w:rPr>
          <w:rStyle w:val="14"/>
          <w:rFonts w:hint="eastAsia" w:eastAsia="方正仿宋简体" w:cs="Times New Roman"/>
          <w:b w:val="0"/>
          <w:bCs/>
          <w:color w:val="auto"/>
          <w:sz w:val="32"/>
          <w:szCs w:val="32"/>
          <w:highlight w:val="none"/>
          <w:lang w:val="en-US" w:eastAsia="zh-CN"/>
        </w:rPr>
        <w:t>21</w:t>
      </w:r>
      <w:r>
        <w:rPr>
          <w:rStyle w:val="14"/>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rPr>
        <w:t>公务接待费支出决算比20</w:t>
      </w:r>
      <w:r>
        <w:rPr>
          <w:rFonts w:hint="default" w:ascii="Times New Roman" w:hAnsi="Times New Roman" w:eastAsia="方正仿宋简体" w:cs="Times New Roman"/>
          <w:color w:val="auto"/>
          <w:sz w:val="32"/>
          <w:szCs w:val="32"/>
          <w:highlight w:val="none"/>
          <w:lang w:val="en-US" w:eastAsia="zh-CN"/>
        </w:rPr>
        <w:t>21</w:t>
      </w:r>
      <w:r>
        <w:rPr>
          <w:rFonts w:hint="default" w:ascii="Times New Roman" w:hAnsi="Times New Roman" w:eastAsia="方正仿宋简体" w:cs="Times New Roman"/>
          <w:color w:val="auto"/>
          <w:sz w:val="32"/>
          <w:szCs w:val="32"/>
          <w:highlight w:val="none"/>
        </w:rPr>
        <w:t>年减少</w:t>
      </w:r>
      <w:r>
        <w:rPr>
          <w:rFonts w:hint="eastAsia" w:ascii="Times New Roman" w:hAnsi="Times New Roman" w:eastAsia="方正仿宋简体" w:cs="Times New Roman"/>
          <w:color w:val="auto"/>
          <w:sz w:val="32"/>
          <w:szCs w:val="32"/>
          <w:highlight w:val="none"/>
          <w:lang w:val="en-US" w:eastAsia="zh-CN"/>
        </w:rPr>
        <w:t>0.98</w:t>
      </w:r>
      <w:r>
        <w:rPr>
          <w:rFonts w:hint="default" w:ascii="Times New Roman" w:hAnsi="Times New Roman" w:eastAsia="方正仿宋简体" w:cs="Times New Roman"/>
          <w:color w:val="auto"/>
          <w:sz w:val="32"/>
          <w:szCs w:val="32"/>
          <w:highlight w:val="none"/>
        </w:rPr>
        <w:t>万元，下降</w:t>
      </w:r>
      <w:r>
        <w:rPr>
          <w:rFonts w:hint="eastAsia" w:ascii="Times New Roman" w:hAnsi="Times New Roman" w:eastAsia="方正仿宋简体" w:cs="Times New Roman"/>
          <w:color w:val="auto"/>
          <w:sz w:val="32"/>
          <w:szCs w:val="32"/>
          <w:highlight w:val="none"/>
          <w:lang w:val="en-US" w:eastAsia="zh-CN"/>
        </w:rPr>
        <w:t>70</w:t>
      </w:r>
      <w:r>
        <w:rPr>
          <w:rFonts w:hint="default" w:ascii="Times New Roman" w:hAnsi="Times New Roman" w:eastAsia="方正仿宋简体" w:cs="Times New Roman"/>
          <w:color w:val="auto"/>
          <w:sz w:val="32"/>
          <w:szCs w:val="32"/>
          <w:highlight w:val="none"/>
        </w:rPr>
        <w:t>%。主要原因是</w:t>
      </w:r>
      <w:r>
        <w:rPr>
          <w:rFonts w:hint="eastAsia" w:ascii="Times New Roman" w:hAnsi="Times New Roman" w:eastAsia="方正仿宋简体" w:cs="Times New Roman"/>
          <w:color w:val="auto"/>
          <w:sz w:val="32"/>
          <w:szCs w:val="32"/>
          <w:highlight w:val="none"/>
        </w:rPr>
        <w:t>受疫情影响，来我</w:t>
      </w:r>
      <w:r>
        <w:rPr>
          <w:rFonts w:hint="eastAsia" w:eastAsia="方正仿宋简体" w:cs="Times New Roman"/>
          <w:color w:val="auto"/>
          <w:sz w:val="32"/>
          <w:szCs w:val="32"/>
          <w:highlight w:val="none"/>
          <w:lang w:eastAsia="zh-CN"/>
        </w:rPr>
        <w:t>厅</w:t>
      </w:r>
      <w:r>
        <w:rPr>
          <w:rFonts w:hint="eastAsia" w:ascii="Times New Roman" w:hAnsi="Times New Roman" w:eastAsia="方正仿宋简体" w:cs="Times New Roman"/>
          <w:color w:val="auto"/>
          <w:sz w:val="32"/>
          <w:szCs w:val="32"/>
          <w:highlight w:val="none"/>
        </w:rPr>
        <w:t>交流学习、调研人数</w:t>
      </w:r>
      <w:r>
        <w:rPr>
          <w:rFonts w:hint="eastAsia" w:eastAsia="方正仿宋简体" w:cs="Times New Roman"/>
          <w:color w:val="auto"/>
          <w:sz w:val="32"/>
          <w:szCs w:val="32"/>
          <w:highlight w:val="none"/>
          <w:lang w:eastAsia="zh-CN"/>
        </w:rPr>
        <w:t>较上年减少，接待任务减少</w:t>
      </w:r>
      <w:r>
        <w:rPr>
          <w:rFonts w:hint="default" w:ascii="Times New Roman" w:hAnsi="Times New Roman" w:eastAsia="方正仿宋简体" w:cs="Times New Roman"/>
          <w:color w:val="auto"/>
          <w:sz w:val="32"/>
          <w:szCs w:val="32"/>
          <w:highlight w:val="none"/>
        </w:rPr>
        <w:t>。其中：</w:t>
      </w:r>
    </w:p>
    <w:p>
      <w:pPr>
        <w:pageBreakBefore w:val="0"/>
        <w:kinsoku/>
        <w:wordWrap/>
        <w:overflowPunct/>
        <w:topLinePunct w:val="0"/>
        <w:bidi w:val="0"/>
        <w:snapToGrid/>
        <w:spacing w:line="600" w:lineRule="exact"/>
        <w:ind w:firstLine="640"/>
        <w:textAlignment w:val="auto"/>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color w:val="auto"/>
          <w:sz w:val="32"/>
          <w:szCs w:val="32"/>
          <w:highlight w:val="none"/>
        </w:rPr>
        <w:t>国内公务接待支出</w:t>
      </w:r>
      <w:r>
        <w:rPr>
          <w:rFonts w:hint="default" w:ascii="Times New Roman" w:hAnsi="Times New Roman" w:eastAsia="方正仿宋简体" w:cs="Times New Roman"/>
          <w:color w:val="auto"/>
          <w:sz w:val="32"/>
          <w:szCs w:val="32"/>
          <w:highlight w:val="none"/>
          <w:lang w:val="en-US" w:eastAsia="zh-CN"/>
        </w:rPr>
        <w:t>0.42</w:t>
      </w:r>
      <w:r>
        <w:rPr>
          <w:rFonts w:hint="default" w:ascii="Times New Roman" w:hAnsi="Times New Roman" w:eastAsia="方正仿宋简体" w:cs="Times New Roman"/>
          <w:color w:val="auto"/>
          <w:sz w:val="32"/>
          <w:szCs w:val="32"/>
          <w:highlight w:val="none"/>
        </w:rPr>
        <w:t>万元，主要</w:t>
      </w:r>
      <w:r>
        <w:rPr>
          <w:rFonts w:hint="eastAsia" w:eastAsia="方正仿宋简体" w:cs="Times New Roman"/>
          <w:color w:val="auto"/>
          <w:sz w:val="32"/>
          <w:szCs w:val="32"/>
          <w:highlight w:val="none"/>
          <w:lang w:eastAsia="zh-CN"/>
        </w:rPr>
        <w:t>用于</w:t>
      </w:r>
      <w:r>
        <w:rPr>
          <w:rFonts w:hint="eastAsia" w:eastAsia="方正仿宋简体" w:cs="Times New Roman"/>
          <w:color w:val="auto"/>
          <w:kern w:val="2"/>
          <w:sz w:val="32"/>
          <w:szCs w:val="32"/>
          <w:highlight w:val="none"/>
          <w:lang w:val="en-US" w:eastAsia="zh-CN" w:bidi="ar-SA"/>
        </w:rPr>
        <w:t>相关单位来厅学习交流、汇报工作等活动发生的接待支出</w:t>
      </w:r>
      <w:r>
        <w:rPr>
          <w:rFonts w:hint="default" w:ascii="Times New Roman" w:hAnsi="Times New Roman" w:eastAsia="方正仿宋简体" w:cs="Times New Roman"/>
          <w:color w:val="auto"/>
          <w:sz w:val="32"/>
          <w:szCs w:val="32"/>
          <w:highlight w:val="none"/>
        </w:rPr>
        <w:t>。国内公务接待</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批次，</w:t>
      </w:r>
      <w:r>
        <w:rPr>
          <w:rFonts w:hint="default" w:ascii="Times New Roman" w:hAnsi="Times New Roman" w:eastAsia="方正仿宋简体" w:cs="Times New Roman"/>
          <w:color w:val="auto"/>
          <w:sz w:val="32"/>
          <w:szCs w:val="32"/>
          <w:highlight w:val="none"/>
          <w:lang w:val="en-US" w:eastAsia="zh-CN"/>
        </w:rPr>
        <w:t>27</w:t>
      </w:r>
      <w:r>
        <w:rPr>
          <w:rFonts w:hint="default" w:ascii="Times New Roman" w:hAnsi="Times New Roman" w:eastAsia="方正仿宋简体" w:cs="Times New Roman"/>
          <w:color w:val="auto"/>
          <w:sz w:val="32"/>
          <w:szCs w:val="32"/>
          <w:highlight w:val="none"/>
        </w:rPr>
        <w:t>人次（不包括陪同人员），共计支出</w:t>
      </w:r>
      <w:r>
        <w:rPr>
          <w:rFonts w:hint="default" w:ascii="Times New Roman" w:hAnsi="Times New Roman" w:eastAsia="方正仿宋简体" w:cs="Times New Roman"/>
          <w:color w:val="auto"/>
          <w:sz w:val="32"/>
          <w:szCs w:val="32"/>
          <w:highlight w:val="none"/>
          <w:lang w:val="en-US" w:eastAsia="zh-CN"/>
        </w:rPr>
        <w:t>0.42</w:t>
      </w:r>
      <w:r>
        <w:rPr>
          <w:rFonts w:hint="default" w:ascii="Times New Roman" w:hAnsi="Times New Roman" w:eastAsia="方正仿宋简体" w:cs="Times New Roman"/>
          <w:color w:val="auto"/>
          <w:sz w:val="32"/>
          <w:szCs w:val="32"/>
          <w:highlight w:val="none"/>
        </w:rPr>
        <w:t>万元，具体内容包括：接待</w:t>
      </w:r>
      <w:r>
        <w:rPr>
          <w:rFonts w:hint="eastAsia" w:ascii="Times New Roman" w:hAnsi="Times New Roman" w:eastAsia="方正仿宋简体" w:cs="Times New Roman"/>
          <w:color w:val="auto"/>
          <w:sz w:val="32"/>
          <w:szCs w:val="32"/>
          <w:highlight w:val="none"/>
          <w:lang w:eastAsia="zh-CN"/>
        </w:rPr>
        <w:t>新疆建设兵团、雷波县人民政府</w:t>
      </w:r>
      <w:r>
        <w:rPr>
          <w:rFonts w:hint="eastAsia" w:eastAsia="方正仿宋简体" w:cs="Times New Roman"/>
          <w:color w:val="auto"/>
          <w:sz w:val="32"/>
          <w:szCs w:val="32"/>
          <w:highlight w:val="none"/>
          <w:lang w:eastAsia="zh-CN"/>
        </w:rPr>
        <w:t>、威远县退役军人事务局等</w:t>
      </w:r>
      <w:r>
        <w:rPr>
          <w:rFonts w:hint="eastAsia" w:ascii="Times New Roman" w:hAnsi="Times New Roman" w:eastAsia="方正仿宋简体" w:cs="Times New Roman"/>
          <w:color w:val="auto"/>
          <w:sz w:val="32"/>
          <w:szCs w:val="32"/>
          <w:highlight w:val="none"/>
          <w:lang w:eastAsia="zh-CN"/>
        </w:rPr>
        <w:t>来厅</w:t>
      </w:r>
      <w:r>
        <w:rPr>
          <w:rFonts w:hint="eastAsia" w:eastAsia="方正仿宋简体" w:cs="Times New Roman"/>
          <w:color w:val="auto"/>
          <w:sz w:val="32"/>
          <w:szCs w:val="32"/>
          <w:highlight w:val="none"/>
          <w:lang w:eastAsia="zh-CN"/>
        </w:rPr>
        <w:t>工作</w:t>
      </w:r>
      <w:r>
        <w:rPr>
          <w:rFonts w:hint="eastAsia" w:ascii="Times New Roman" w:hAnsi="Times New Roman" w:eastAsia="方正仿宋简体" w:cs="Times New Roman"/>
          <w:color w:val="auto"/>
          <w:sz w:val="32"/>
          <w:szCs w:val="32"/>
          <w:highlight w:val="none"/>
          <w:lang w:eastAsia="zh-CN"/>
        </w:rPr>
        <w:t>交流、工作汇报</w:t>
      </w:r>
      <w:r>
        <w:rPr>
          <w:rFonts w:hint="default"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color w:val="auto"/>
          <w:sz w:val="32"/>
          <w:szCs w:val="32"/>
          <w:highlight w:val="none"/>
        </w:rPr>
        <w:t>外事接待支出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外事接待</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批次，</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次（不包括陪同人员）</w:t>
      </w:r>
      <w:r>
        <w:rPr>
          <w:rFonts w:hint="default" w:ascii="Times New Roman" w:hAnsi="Times New Roman" w:eastAsia="方正仿宋简体" w:cs="Times New Roman"/>
          <w:color w:val="auto"/>
          <w:sz w:val="32"/>
          <w:szCs w:val="32"/>
          <w:highlight w:val="none"/>
        </w:rPr>
        <w:t>，共计支出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万元。</w:t>
      </w:r>
      <w:bookmarkStart w:id="40" w:name="_Toc15377218"/>
      <w:bookmarkStart w:id="41" w:name="_Toc153966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5"/>
          <w:rFonts w:hint="eastAsia" w:ascii="方正黑体简体" w:hAnsi="方正黑体简体" w:eastAsia="方正黑体简体" w:cs="方正黑体简体"/>
          <w:b w:val="0"/>
          <w:color w:val="auto"/>
          <w:highlight w:val="none"/>
        </w:rPr>
      </w:pPr>
      <w:r>
        <w:rPr>
          <w:rStyle w:val="25"/>
          <w:rFonts w:hint="eastAsia" w:ascii="方正黑体简体" w:hAnsi="方正黑体简体" w:eastAsia="方正黑体简体" w:cs="方正黑体简体"/>
          <w:b w:val="0"/>
          <w:color w:val="auto"/>
          <w:highlight w:val="none"/>
        </w:rPr>
        <w:t>八、政府性基金预算支出决算情况说明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cs="Times New Roman"/>
          <w:color w:val="000000" w:themeColor="text1"/>
          <w:sz w:val="32"/>
          <w:szCs w:val="32"/>
          <w:lang w:val="en-US" w:eastAsia="zh-CN"/>
          <w14:textFill>
            <w14:solidFill>
              <w14:schemeClr w14:val="tx1"/>
            </w14:solidFill>
          </w14:textFill>
        </w:rPr>
      </w:pPr>
      <w:r>
        <w:rPr>
          <w:rFonts w:hint="eastAsia" w:eastAsia="方正仿宋简体" w:cs="Times New Roman"/>
          <w:color w:val="000000" w:themeColor="text1"/>
          <w:sz w:val="32"/>
          <w:szCs w:val="32"/>
          <w:lang w:val="en-US" w:eastAsia="zh-CN"/>
          <w14:textFill>
            <w14:solidFill>
              <w14:schemeClr w14:val="tx1"/>
            </w14:solidFill>
          </w14:textFill>
        </w:rPr>
        <w:t>2022年政府性基金预算财政拨款支出0万元。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outlineLvl w:val="1"/>
        <w:rPr>
          <w:rStyle w:val="25"/>
          <w:rFonts w:hint="eastAsia" w:ascii="方正黑体简体" w:hAnsi="方正黑体简体" w:eastAsia="方正黑体简体" w:cs="方正黑体简体"/>
          <w:b w:val="0"/>
          <w:color w:val="auto"/>
          <w:highlight w:val="none"/>
        </w:rPr>
      </w:pPr>
      <w:bookmarkStart w:id="42" w:name="_Toc15396611"/>
      <w:bookmarkStart w:id="43" w:name="_Toc15377219"/>
      <w:r>
        <w:rPr>
          <w:rStyle w:val="25"/>
          <w:rFonts w:hint="eastAsia" w:ascii="方正黑体简体" w:hAnsi="方正黑体简体" w:eastAsia="方正黑体简体" w:cs="方正黑体简体"/>
          <w:b w:val="0"/>
          <w:color w:val="auto"/>
          <w:highlight w:val="none"/>
        </w:rPr>
        <w:t>国有资本经营预算支出决算情况说明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cs="Times New Roman"/>
          <w:color w:val="000000" w:themeColor="text1"/>
          <w:sz w:val="32"/>
          <w:szCs w:val="32"/>
          <w:lang w:val="en-US" w:eastAsia="zh-CN"/>
          <w14:textFill>
            <w14:solidFill>
              <w14:schemeClr w14:val="tx1"/>
            </w14:solidFill>
          </w14:textFill>
        </w:rPr>
      </w:pPr>
      <w:r>
        <w:rPr>
          <w:rFonts w:hint="eastAsia" w:eastAsia="方正仿宋简体" w:cs="Times New Roman"/>
          <w:color w:val="000000" w:themeColor="text1"/>
          <w:sz w:val="32"/>
          <w:szCs w:val="32"/>
          <w:lang w:val="en-US" w:eastAsia="zh-CN"/>
          <w14:textFill>
            <w14:solidFill>
              <w14:schemeClr w14:val="tx1"/>
            </w14:solidFill>
          </w14:textFill>
        </w:rPr>
        <w:t>2022年国有资本经营预算财政拨款支出0万元。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outlineLvl w:val="1"/>
        <w:rPr>
          <w:rStyle w:val="25"/>
          <w:rFonts w:hint="eastAsia" w:ascii="方正黑体简体" w:hAnsi="方正黑体简体" w:eastAsia="方正黑体简体" w:cs="方正黑体简体"/>
          <w:b w:val="0"/>
          <w:color w:val="auto"/>
          <w:highlight w:val="none"/>
        </w:rPr>
      </w:pPr>
      <w:bookmarkStart w:id="44" w:name="_Toc15377221"/>
      <w:bookmarkStart w:id="45" w:name="_Toc15396612"/>
      <w:r>
        <w:rPr>
          <w:rStyle w:val="25"/>
          <w:rFonts w:hint="eastAsia" w:ascii="方正黑体简体" w:hAnsi="方正黑体简体" w:eastAsia="方正黑体简体" w:cs="方正黑体简体"/>
          <w:b w:val="0"/>
          <w:color w:val="auto"/>
          <w:highlight w:val="none"/>
        </w:rPr>
        <w:t>其他重要事项的情况说明</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46" w:name="_Toc15377222"/>
      <w:r>
        <w:rPr>
          <w:rFonts w:hint="eastAsia" w:ascii="Times New Roman" w:hAnsi="Times New Roman" w:eastAsia="方正楷体简体" w:cs="Times New Roman"/>
          <w:b/>
          <w:color w:val="auto"/>
          <w:sz w:val="32"/>
          <w:szCs w:val="32"/>
          <w:highlight w:val="none"/>
        </w:rPr>
        <w:t>（一）机关运行经费支出情况</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22</w:t>
      </w:r>
      <w:r>
        <w:rPr>
          <w:rFonts w:hint="eastAsia" w:ascii="Times New Roman" w:hAnsi="Times New Roman" w:eastAsia="方正仿宋简体" w:cs="Times New Roman"/>
          <w:color w:val="000000" w:themeColor="text1"/>
          <w:sz w:val="32"/>
          <w:szCs w:val="32"/>
          <w14:textFill>
            <w14:solidFill>
              <w14:schemeClr w14:val="tx1"/>
            </w14:solidFill>
          </w14:textFill>
        </w:rPr>
        <w:t>年，机关运行经费支出</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572.81</w:t>
      </w:r>
      <w:r>
        <w:rPr>
          <w:rFonts w:hint="eastAsia" w:ascii="Times New Roman" w:hAnsi="Times New Roman" w:eastAsia="方正仿宋简体" w:cs="Times New Roman"/>
          <w:color w:val="000000" w:themeColor="text1"/>
          <w:sz w:val="32"/>
          <w:szCs w:val="32"/>
          <w14:textFill>
            <w14:solidFill>
              <w14:schemeClr w14:val="tx1"/>
            </w14:solidFill>
          </w14:textFill>
        </w:rPr>
        <w:t>万元，比</w:t>
      </w:r>
      <w:r>
        <w:rPr>
          <w:rFonts w:hint="default" w:ascii="Times New Roman" w:hAnsi="Times New Roman" w:eastAsia="方正仿宋简体" w:cs="Times New Roman"/>
          <w:color w:val="000000" w:themeColor="text1"/>
          <w:sz w:val="32"/>
          <w:szCs w:val="32"/>
          <w14:textFill>
            <w14:solidFill>
              <w14:schemeClr w14:val="tx1"/>
            </w14:solidFill>
          </w14:textFill>
        </w:rPr>
        <w:t>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21</w:t>
      </w:r>
      <w:r>
        <w:rPr>
          <w:rFonts w:hint="eastAsia" w:ascii="Times New Roman" w:hAnsi="Times New Roman" w:eastAsia="方正仿宋简体" w:cs="Times New Roman"/>
          <w:color w:val="000000" w:themeColor="text1"/>
          <w:sz w:val="32"/>
          <w:szCs w:val="32"/>
          <w14:textFill>
            <w14:solidFill>
              <w14:schemeClr w14:val="tx1"/>
            </w14:solidFill>
          </w14:textFill>
        </w:rPr>
        <w:t>年减少</w:t>
      </w:r>
      <w:r>
        <w:rPr>
          <w:rFonts w:hint="eastAsia" w:eastAsia="方正仿宋简体" w:cs="Times New Roman"/>
          <w:color w:val="000000" w:themeColor="text1"/>
          <w:sz w:val="32"/>
          <w:szCs w:val="32"/>
          <w:lang w:val="en-US" w:eastAsia="zh-CN"/>
          <w14:textFill>
            <w14:solidFill>
              <w14:schemeClr w14:val="tx1"/>
            </w14:solidFill>
          </w14:textFill>
        </w:rPr>
        <w:t>73.67</w:t>
      </w:r>
      <w:r>
        <w:rPr>
          <w:rFonts w:hint="eastAsia" w:ascii="Times New Roman" w:hAnsi="Times New Roman" w:eastAsia="方正仿宋简体" w:cs="Times New Roman"/>
          <w:color w:val="000000" w:themeColor="text1"/>
          <w:sz w:val="32"/>
          <w:szCs w:val="32"/>
          <w14:textFill>
            <w14:solidFill>
              <w14:schemeClr w14:val="tx1"/>
            </w14:solidFill>
          </w14:textFill>
        </w:rPr>
        <w:t>万元，下降</w:t>
      </w:r>
      <w:r>
        <w:rPr>
          <w:rFonts w:hint="eastAsia" w:eastAsia="方正仿宋简体" w:cs="Times New Roman"/>
          <w:color w:val="000000" w:themeColor="text1"/>
          <w:sz w:val="32"/>
          <w:szCs w:val="32"/>
          <w:lang w:val="en-US" w:eastAsia="zh-CN"/>
          <w14:textFill>
            <w14:solidFill>
              <w14:schemeClr w14:val="tx1"/>
            </w14:solidFill>
          </w14:textFill>
        </w:rPr>
        <w:t>11.4</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。主要原因是贯彻落实厉行节约反对浪费各项要求，在保障工作正常运行情况下，严格控制有关开支。</w:t>
      </w:r>
    </w:p>
    <w:p>
      <w:pPr>
        <w:pageBreakBefore w:val="0"/>
        <w:kinsoku/>
        <w:wordWrap/>
        <w:overflowPunct/>
        <w:topLinePunct w:val="0"/>
        <w:bidi w:val="0"/>
        <w:snapToGrid/>
        <w:spacing w:line="600" w:lineRule="exact"/>
        <w:ind w:firstLine="643" w:firstLineChars="200"/>
        <w:textAlignment w:val="auto"/>
        <w:outlineLvl w:val="2"/>
        <w:rPr>
          <w:rFonts w:hint="default" w:ascii="Times New Roman" w:hAnsi="Times New Roman" w:eastAsia="方正楷体简体" w:cs="Times New Roman"/>
          <w:b/>
          <w:color w:val="auto"/>
          <w:sz w:val="32"/>
          <w:szCs w:val="32"/>
          <w:highlight w:val="none"/>
        </w:rPr>
      </w:pPr>
      <w:bookmarkStart w:id="47" w:name="_Toc15377223"/>
      <w:r>
        <w:rPr>
          <w:rFonts w:hint="default" w:ascii="Times New Roman" w:hAnsi="Times New Roman" w:eastAsia="方正楷体简体" w:cs="Times New Roman"/>
          <w:b/>
          <w:color w:val="auto"/>
          <w:sz w:val="32"/>
          <w:szCs w:val="32"/>
          <w:highlight w:val="none"/>
        </w:rPr>
        <w:t>（二）政府采购支出情况</w:t>
      </w:r>
      <w:bookmarkEnd w:id="47"/>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000000" w:themeColor="text1"/>
          <w:sz w:val="32"/>
          <w:szCs w:val="32"/>
          <w14:textFill>
            <w14:solidFill>
              <w14:schemeClr w14:val="tx1"/>
            </w14:solidFill>
          </w14:textFill>
        </w:rPr>
        <w:t>厅</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机关</w:t>
      </w:r>
      <w:r>
        <w:rPr>
          <w:rFonts w:hint="default" w:ascii="Times New Roman" w:hAnsi="Times New Roman" w:eastAsia="方正仿宋简体" w:cs="Times New Roman"/>
          <w:color w:val="auto"/>
          <w:sz w:val="32"/>
          <w:szCs w:val="32"/>
          <w:highlight w:val="none"/>
        </w:rPr>
        <w:t>政府采购支出总额</w:t>
      </w:r>
      <w:r>
        <w:rPr>
          <w:rFonts w:hint="default" w:ascii="Times New Roman" w:hAnsi="Times New Roman" w:eastAsia="方正仿宋简体" w:cs="Times New Roman"/>
          <w:color w:val="auto"/>
          <w:sz w:val="32"/>
          <w:szCs w:val="32"/>
          <w:highlight w:val="none"/>
          <w:lang w:val="en-US" w:eastAsia="zh-CN"/>
        </w:rPr>
        <w:t>2</w:t>
      </w:r>
      <w:r>
        <w:rPr>
          <w:rFonts w:hint="eastAsia"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035.17</w:t>
      </w:r>
      <w:r>
        <w:rPr>
          <w:rFonts w:hint="default" w:ascii="Times New Roman" w:hAnsi="Times New Roman" w:eastAsia="方正仿宋简体" w:cs="Times New Roman"/>
          <w:color w:val="auto"/>
          <w:sz w:val="32"/>
          <w:szCs w:val="32"/>
          <w:highlight w:val="none"/>
        </w:rPr>
        <w:t>万元，其中：政府采购货物支出</w:t>
      </w:r>
      <w:r>
        <w:rPr>
          <w:rFonts w:hint="default" w:ascii="Times New Roman" w:hAnsi="Times New Roman" w:eastAsia="方正仿宋简体" w:cs="Times New Roman"/>
          <w:color w:val="auto"/>
          <w:sz w:val="32"/>
          <w:szCs w:val="32"/>
          <w:highlight w:val="none"/>
          <w:lang w:val="en-US" w:eastAsia="zh-CN"/>
        </w:rPr>
        <w:t>1</w:t>
      </w:r>
      <w:r>
        <w:rPr>
          <w:rFonts w:hint="eastAsia"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353.71</w:t>
      </w:r>
      <w:r>
        <w:rPr>
          <w:rFonts w:hint="default" w:ascii="Times New Roman" w:hAnsi="Times New Roman" w:eastAsia="方正仿宋简体" w:cs="Times New Roman"/>
          <w:color w:val="auto"/>
          <w:sz w:val="32"/>
          <w:szCs w:val="32"/>
          <w:highlight w:val="none"/>
        </w:rPr>
        <w:t>万元、政府采购工程支出</w:t>
      </w:r>
      <w:r>
        <w:rPr>
          <w:rFonts w:hint="default" w:ascii="Times New Roman" w:hAnsi="Times New Roman" w:eastAsia="方正仿宋简体" w:cs="Times New Roman"/>
          <w:color w:val="auto"/>
          <w:sz w:val="32"/>
          <w:szCs w:val="32"/>
          <w:highlight w:val="none"/>
          <w:lang w:val="en-US" w:eastAsia="zh-CN"/>
        </w:rPr>
        <w:t>154.25</w:t>
      </w:r>
      <w:r>
        <w:rPr>
          <w:rFonts w:hint="default" w:ascii="Times New Roman" w:hAnsi="Times New Roman" w:eastAsia="方正仿宋简体" w:cs="Times New Roman"/>
          <w:color w:val="auto"/>
          <w:sz w:val="32"/>
          <w:szCs w:val="32"/>
          <w:highlight w:val="none"/>
        </w:rPr>
        <w:t>万元、政府采购服务支出</w:t>
      </w:r>
      <w:r>
        <w:rPr>
          <w:rFonts w:hint="default" w:ascii="Times New Roman" w:hAnsi="Times New Roman" w:eastAsia="方正仿宋简体" w:cs="Times New Roman"/>
          <w:color w:val="auto"/>
          <w:sz w:val="32"/>
          <w:szCs w:val="32"/>
          <w:highlight w:val="none"/>
          <w:lang w:val="en-US" w:eastAsia="zh-CN"/>
        </w:rPr>
        <w:t>527.21</w:t>
      </w:r>
      <w:r>
        <w:rPr>
          <w:rFonts w:hint="default" w:ascii="Times New Roman" w:hAnsi="Times New Roman" w:eastAsia="方正仿宋简体" w:cs="Times New Roman"/>
          <w:color w:val="auto"/>
          <w:sz w:val="32"/>
          <w:szCs w:val="32"/>
          <w:highlight w:val="none"/>
        </w:rPr>
        <w:t>万元。主要用于</w:t>
      </w:r>
      <w:r>
        <w:rPr>
          <w:rFonts w:hint="eastAsia" w:ascii="Times New Roman" w:hAnsi="Times New Roman" w:eastAsia="方正仿宋简体" w:cs="Times New Roman"/>
          <w:color w:val="auto"/>
          <w:sz w:val="32"/>
          <w:szCs w:val="32"/>
          <w:highlight w:val="none"/>
        </w:rPr>
        <w:t>购置慰问部队物品、信息化系统网络建设、物业管理服务、</w:t>
      </w:r>
      <w:r>
        <w:rPr>
          <w:rFonts w:hint="eastAsia" w:ascii="Times New Roman" w:hAnsi="Times New Roman" w:eastAsia="方正仿宋简体" w:cs="Times New Roman"/>
          <w:color w:val="auto"/>
          <w:sz w:val="32"/>
          <w:szCs w:val="32"/>
          <w:highlight w:val="none"/>
          <w:lang w:eastAsia="zh-CN"/>
        </w:rPr>
        <w:t>就业创业成果展</w:t>
      </w:r>
      <w:r>
        <w:rPr>
          <w:rFonts w:hint="eastAsia" w:eastAsia="方正仿宋简体" w:cs="Times New Roman"/>
          <w:color w:val="auto"/>
          <w:sz w:val="32"/>
          <w:szCs w:val="32"/>
          <w:highlight w:val="none"/>
          <w:lang w:eastAsia="zh-CN"/>
        </w:rPr>
        <w:t>、就业创业技能提升服务</w:t>
      </w:r>
      <w:r>
        <w:rPr>
          <w:rFonts w:hint="eastAsia" w:ascii="Times New Roman" w:hAnsi="Times New Roman" w:eastAsia="方正仿宋简体" w:cs="Times New Roman"/>
          <w:color w:val="auto"/>
          <w:sz w:val="32"/>
          <w:szCs w:val="32"/>
          <w:highlight w:val="none"/>
        </w:rPr>
        <w:t>等</w:t>
      </w:r>
      <w:r>
        <w:rPr>
          <w:rFonts w:hint="default" w:ascii="Times New Roman" w:hAnsi="Times New Roman" w:eastAsia="方正仿宋简体" w:cs="Times New Roman"/>
          <w:color w:val="auto"/>
          <w:sz w:val="32"/>
          <w:szCs w:val="32"/>
          <w:highlight w:val="none"/>
        </w:rPr>
        <w:t>。授予中小企业合同金额</w:t>
      </w:r>
      <w:r>
        <w:rPr>
          <w:rFonts w:hint="eastAsia" w:ascii="Times New Roman" w:hAnsi="Times New Roman" w:eastAsia="方正仿宋简体" w:cs="Times New Roman"/>
          <w:color w:val="auto"/>
          <w:sz w:val="32"/>
          <w:szCs w:val="32"/>
          <w:highlight w:val="none"/>
          <w:lang w:val="en-US" w:eastAsia="zh-CN"/>
        </w:rPr>
        <w:t>1</w:t>
      </w:r>
      <w:r>
        <w:rPr>
          <w:rFonts w:hint="eastAsia"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038.50</w:t>
      </w:r>
      <w:r>
        <w:rPr>
          <w:rFonts w:hint="default" w:ascii="Times New Roman" w:hAnsi="Times New Roman" w:eastAsia="方正仿宋简体" w:cs="Times New Roman"/>
          <w:color w:val="auto"/>
          <w:sz w:val="32"/>
          <w:szCs w:val="32"/>
          <w:highlight w:val="none"/>
        </w:rPr>
        <w:t>万元，占政府采购支出总额的</w:t>
      </w:r>
      <w:r>
        <w:rPr>
          <w:rFonts w:hint="eastAsia" w:eastAsia="方正仿宋简体" w:cs="Times New Roman"/>
          <w:color w:val="auto"/>
          <w:sz w:val="32"/>
          <w:szCs w:val="32"/>
          <w:highlight w:val="none"/>
          <w:lang w:val="en-US" w:eastAsia="zh-CN"/>
        </w:rPr>
        <w:t>51.03</w:t>
      </w:r>
      <w:r>
        <w:rPr>
          <w:rFonts w:hint="default" w:ascii="Times New Roman" w:hAnsi="Times New Roman" w:eastAsia="方正仿宋简体" w:cs="Times New Roman"/>
          <w:color w:val="auto"/>
          <w:sz w:val="32"/>
          <w:szCs w:val="32"/>
          <w:highlight w:val="none"/>
        </w:rPr>
        <w:t>%，其中：授予小微企业合同金额</w:t>
      </w:r>
      <w:r>
        <w:rPr>
          <w:rFonts w:hint="eastAsia" w:ascii="Times New Roman" w:hAnsi="Times New Roman" w:eastAsia="方正仿宋简体" w:cs="Times New Roman"/>
          <w:color w:val="auto"/>
          <w:sz w:val="32"/>
          <w:szCs w:val="32"/>
          <w:highlight w:val="none"/>
          <w:lang w:val="en-US" w:eastAsia="zh-CN"/>
        </w:rPr>
        <w:t>518.34</w:t>
      </w:r>
      <w:r>
        <w:rPr>
          <w:rFonts w:hint="default" w:ascii="Times New Roman" w:hAnsi="Times New Roman" w:eastAsia="方正仿宋简体" w:cs="Times New Roman"/>
          <w:color w:val="auto"/>
          <w:sz w:val="32"/>
          <w:szCs w:val="32"/>
          <w:highlight w:val="none"/>
        </w:rPr>
        <w:t>万元，占政府采购支出总额的</w:t>
      </w:r>
      <w:r>
        <w:rPr>
          <w:rFonts w:hint="eastAsia" w:eastAsia="方正仿宋简体" w:cs="Times New Roman"/>
          <w:color w:val="auto"/>
          <w:sz w:val="32"/>
          <w:szCs w:val="32"/>
          <w:highlight w:val="none"/>
          <w:lang w:val="en-US" w:eastAsia="zh-CN"/>
        </w:rPr>
        <w:t>25.47</w:t>
      </w:r>
      <w:r>
        <w:rPr>
          <w:rFonts w:hint="default" w:ascii="Times New Roman" w:hAnsi="Times New Roman" w:eastAsia="方正仿宋简体" w:cs="Times New Roman"/>
          <w:color w:val="auto"/>
          <w:sz w:val="32"/>
          <w:szCs w:val="32"/>
          <w:highlight w:val="none"/>
        </w:rPr>
        <w:t>%。</w:t>
      </w:r>
    </w:p>
    <w:p>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rPr>
      </w:pPr>
      <w:bookmarkStart w:id="48" w:name="_Toc15377224"/>
      <w:r>
        <w:rPr>
          <w:rFonts w:hint="eastAsia" w:ascii="Times New Roman" w:hAnsi="Times New Roman" w:eastAsia="方正楷体简体" w:cs="Times New Roman"/>
          <w:b/>
          <w:color w:val="auto"/>
          <w:sz w:val="32"/>
          <w:szCs w:val="32"/>
          <w:highlight w:val="none"/>
        </w:rPr>
        <w:t>（三）国有资产占有使用情况</w:t>
      </w:r>
      <w:bookmarkEnd w:id="48"/>
    </w:p>
    <w:p>
      <w:pPr>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截至2022年12月31日，厅机关共有车辆6辆，其中：主要领导干部用车1辆、机要通信用车2辆、应急保障用车1辆、其他用车</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val="en-US" w:eastAsia="zh-CN"/>
        </w:rPr>
        <w:t>辆，其他用车主要是用于</w:t>
      </w:r>
      <w:r>
        <w:rPr>
          <w:rFonts w:hint="eastAsia" w:eastAsia="方正仿宋简体" w:cs="Times New Roman"/>
          <w:color w:val="auto"/>
          <w:sz w:val="32"/>
          <w:szCs w:val="32"/>
          <w:highlight w:val="none"/>
          <w:lang w:val="en-US" w:eastAsia="zh-CN"/>
        </w:rPr>
        <w:t>机关干部外出调研用车</w:t>
      </w:r>
      <w:r>
        <w:rPr>
          <w:rFonts w:hint="default" w:ascii="Times New Roman" w:hAnsi="Times New Roman" w:eastAsia="方正仿宋简体" w:cs="Times New Roman"/>
          <w:color w:val="auto"/>
          <w:sz w:val="32"/>
          <w:szCs w:val="32"/>
          <w:highlight w:val="none"/>
          <w:lang w:val="en-US" w:eastAsia="zh-CN"/>
        </w:rPr>
        <w:t>。单价100万元</w:t>
      </w:r>
      <w:r>
        <w:rPr>
          <w:rFonts w:hint="eastAsia" w:ascii="Times New Roman" w:hAnsi="Times New Roman" w:eastAsia="方正仿宋简体" w:cs="Times New Roman"/>
          <w:color w:val="auto"/>
          <w:sz w:val="32"/>
          <w:szCs w:val="32"/>
          <w:highlight w:val="none"/>
          <w:lang w:val="en-US" w:eastAsia="zh-CN"/>
        </w:rPr>
        <w:t>（含）</w:t>
      </w:r>
      <w:r>
        <w:rPr>
          <w:rFonts w:hint="default" w:ascii="Times New Roman" w:hAnsi="Times New Roman" w:eastAsia="方正仿宋简体" w:cs="Times New Roman"/>
          <w:color w:val="auto"/>
          <w:sz w:val="32"/>
          <w:szCs w:val="32"/>
          <w:highlight w:val="none"/>
          <w:lang w:val="en-US" w:eastAsia="zh-CN"/>
        </w:rPr>
        <w:t>以上设备</w:t>
      </w:r>
      <w:r>
        <w:rPr>
          <w:rFonts w:hint="eastAsia" w:ascii="Times New Roman" w:hAnsi="Times New Roman" w:eastAsia="方正仿宋简体" w:cs="Times New Roman"/>
          <w:color w:val="auto"/>
          <w:sz w:val="32"/>
          <w:szCs w:val="32"/>
          <w:highlight w:val="none"/>
          <w:lang w:val="en-US" w:eastAsia="zh-CN"/>
        </w:rPr>
        <w:t>（不含车辆）0</w:t>
      </w:r>
      <w:r>
        <w:rPr>
          <w:rFonts w:hint="default" w:ascii="Times New Roman" w:hAnsi="Times New Roman" w:eastAsia="方正仿宋简体" w:cs="Times New Roman"/>
          <w:color w:val="auto"/>
          <w:sz w:val="32"/>
          <w:szCs w:val="32"/>
          <w:highlight w:val="none"/>
          <w:lang w:val="en-US" w:eastAsia="zh-CN"/>
        </w:rPr>
        <w:t>台（套）。</w:t>
      </w:r>
    </w:p>
    <w:p>
      <w:pPr>
        <w:pageBreakBefore w:val="0"/>
        <w:kinsoku/>
        <w:wordWrap/>
        <w:overflowPunct/>
        <w:topLinePunct w:val="0"/>
        <w:bidi w:val="0"/>
        <w:snapToGrid/>
        <w:spacing w:line="600" w:lineRule="exact"/>
        <w:ind w:firstLine="643" w:firstLineChars="200"/>
        <w:textAlignment w:val="auto"/>
        <w:outlineLvl w:val="2"/>
        <w:rPr>
          <w:rFonts w:hint="eastAsia" w:ascii="Times New Roman" w:hAnsi="Times New Roman" w:eastAsia="方正楷体简体" w:cs="Times New Roman"/>
          <w:b/>
          <w:color w:val="auto"/>
          <w:sz w:val="32"/>
          <w:szCs w:val="32"/>
          <w:highlight w:val="none"/>
          <w:lang w:eastAsia="zh-CN"/>
        </w:rPr>
      </w:pPr>
      <w:r>
        <w:rPr>
          <w:rFonts w:hint="eastAsia" w:ascii="Times New Roman" w:hAnsi="Times New Roman" w:eastAsia="方正楷体简体" w:cs="Times New Roman"/>
          <w:b/>
          <w:color w:val="auto"/>
          <w:sz w:val="32"/>
          <w:szCs w:val="32"/>
          <w:highlight w:val="none"/>
        </w:rPr>
        <w:t>（四）预算绩效管理情况</w:t>
      </w:r>
    </w:p>
    <w:p>
      <w:pPr>
        <w:pStyle w:val="5"/>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根据预算绩效管理要求，</w:t>
      </w:r>
      <w:r>
        <w:rPr>
          <w:rFonts w:hint="eastAsia" w:ascii="Times New Roman" w:eastAsia="方正仿宋简体" w:cs="Times New Roman"/>
          <w:color w:val="auto"/>
          <w:kern w:val="2"/>
          <w:sz w:val="32"/>
          <w:szCs w:val="32"/>
          <w:highlight w:val="none"/>
          <w:lang w:val="en-US" w:eastAsia="zh-CN" w:bidi="ar-SA"/>
        </w:rPr>
        <w:t>厅机关</w:t>
      </w:r>
      <w:r>
        <w:rPr>
          <w:rFonts w:hint="eastAsia" w:ascii="Times New Roman" w:hAnsi="Times New Roman" w:eastAsia="方正仿宋简体" w:cs="Times New Roman"/>
          <w:color w:val="auto"/>
          <w:kern w:val="2"/>
          <w:sz w:val="32"/>
          <w:szCs w:val="32"/>
          <w:highlight w:val="none"/>
          <w:lang w:val="en-US" w:eastAsia="zh-CN" w:bidi="ar-SA"/>
        </w:rPr>
        <w:t>在2022年度预算编制阶段，组织对就业创业</w:t>
      </w:r>
      <w:r>
        <w:rPr>
          <w:rFonts w:hint="eastAsia" w:ascii="Times New Roman" w:eastAsia="方正仿宋简体" w:cs="Times New Roman"/>
          <w:color w:val="auto"/>
          <w:kern w:val="2"/>
          <w:sz w:val="32"/>
          <w:szCs w:val="32"/>
          <w:highlight w:val="none"/>
          <w:lang w:val="en-US" w:eastAsia="zh-CN" w:bidi="ar-SA"/>
        </w:rPr>
        <w:t>补助资金</w:t>
      </w:r>
      <w:r>
        <w:rPr>
          <w:rFonts w:hint="eastAsia" w:ascii="Times New Roman" w:hAnsi="Times New Roman" w:eastAsia="方正仿宋简体" w:cs="Times New Roman"/>
          <w:color w:val="auto"/>
          <w:kern w:val="2"/>
          <w:sz w:val="32"/>
          <w:szCs w:val="32"/>
          <w:highlight w:val="none"/>
          <w:lang w:val="en-US" w:eastAsia="zh-Hans" w:bidi="ar-SA"/>
        </w:rPr>
        <w:t>、慰问费</w:t>
      </w:r>
      <w:r>
        <w:rPr>
          <w:rFonts w:hint="eastAsia" w:ascii="Times New Roman" w:hAnsi="Times New Roman" w:eastAsia="方正仿宋简体" w:cs="Times New Roman"/>
          <w:color w:val="auto"/>
          <w:kern w:val="2"/>
          <w:sz w:val="32"/>
          <w:szCs w:val="32"/>
          <w:highlight w:val="none"/>
          <w:lang w:val="en-US" w:eastAsia="zh-CN" w:bidi="ar-SA"/>
        </w:rPr>
        <w:t>2个项目开展了预算事前绩效评估，对25个项目编制了绩效目标，预算执行过程中，选取</w:t>
      </w:r>
      <w:r>
        <w:rPr>
          <w:rFonts w:hint="eastAsia" w:ascii="Times New Roman" w:eastAsia="方正仿宋简体" w:cs="Times New Roman"/>
          <w:color w:val="auto"/>
          <w:kern w:val="2"/>
          <w:sz w:val="32"/>
          <w:szCs w:val="32"/>
          <w:highlight w:val="none"/>
          <w:lang w:val="en-US" w:eastAsia="zh-CN" w:bidi="ar-SA"/>
        </w:rPr>
        <w:t>25</w:t>
      </w:r>
      <w:r>
        <w:rPr>
          <w:rFonts w:hint="eastAsia" w:ascii="Times New Roman" w:hAnsi="Times New Roman" w:eastAsia="方正仿宋简体" w:cs="Times New Roman"/>
          <w:color w:val="auto"/>
          <w:kern w:val="2"/>
          <w:sz w:val="32"/>
          <w:szCs w:val="32"/>
          <w:highlight w:val="none"/>
          <w:lang w:val="en-US" w:eastAsia="zh-CN" w:bidi="ar-SA"/>
        </w:rPr>
        <w:t>个项目开展绩效监控，组织对</w:t>
      </w:r>
      <w:r>
        <w:rPr>
          <w:rFonts w:hint="eastAsia" w:ascii="Times New Roman" w:eastAsia="方正仿宋简体" w:cs="Times New Roman"/>
          <w:color w:val="auto"/>
          <w:kern w:val="2"/>
          <w:sz w:val="32"/>
          <w:szCs w:val="32"/>
          <w:highlight w:val="none"/>
          <w:lang w:val="en-US" w:eastAsia="zh-CN" w:bidi="ar-SA"/>
        </w:rPr>
        <w:t>7</w:t>
      </w:r>
      <w:r>
        <w:rPr>
          <w:rFonts w:hint="eastAsia" w:ascii="Times New Roman" w:hAnsi="Times New Roman" w:eastAsia="方正仿宋简体" w:cs="Times New Roman"/>
          <w:color w:val="auto"/>
          <w:kern w:val="2"/>
          <w:sz w:val="32"/>
          <w:szCs w:val="32"/>
          <w:highlight w:val="none"/>
          <w:lang w:val="en-US" w:eastAsia="zh-CN" w:bidi="ar-SA"/>
        </w:rPr>
        <w:t>个项目开展绩效自评，绩效自评表详见第四部分附件。</w:t>
      </w:r>
    </w:p>
    <w:p>
      <w:pPr>
        <w:pageBreakBefore w:val="0"/>
        <w:widowControl/>
        <w:kinsoku/>
        <w:wordWrap/>
        <w:overflowPunct/>
        <w:topLinePunct w:val="0"/>
        <w:bidi w:val="0"/>
        <w:snapToGrid/>
        <w:spacing w:line="600" w:lineRule="exact"/>
        <w:jc w:val="left"/>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4"/>
        </w:numPr>
        <w:kinsoku/>
        <w:wordWrap/>
        <w:overflowPunct/>
        <w:topLinePunct w:val="0"/>
        <w:bidi w:val="0"/>
        <w:snapToGrid/>
        <w:spacing w:line="600" w:lineRule="exact"/>
        <w:ind w:firstLine="660" w:firstLineChars="150"/>
        <w:jc w:val="center"/>
        <w:textAlignment w:val="auto"/>
        <w:outlineLvl w:val="0"/>
        <w:rPr>
          <w:rStyle w:val="1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16"/>
          <w:rFonts w:hint="eastAsia" w:ascii="黑体" w:hAnsi="黑体" w:eastAsia="黑体"/>
          <w:b w:val="0"/>
          <w:color w:val="auto"/>
          <w:highlight w:val="none"/>
        </w:rPr>
        <w:t>词解释</w:t>
      </w:r>
      <w:bookmarkEnd w:id="49"/>
      <w:bookmarkEnd w:id="50"/>
    </w:p>
    <w:p>
      <w:pPr>
        <w:pageBreakBefore w:val="0"/>
        <w:kinsoku/>
        <w:wordWrap/>
        <w:overflowPunct/>
        <w:topLinePunct w:val="0"/>
        <w:bidi w:val="0"/>
        <w:snapToGrid/>
        <w:spacing w:line="600" w:lineRule="exact"/>
        <w:jc w:val="left"/>
        <w:textAlignment w:val="auto"/>
        <w:rPr>
          <w:rFonts w:ascii="宋体"/>
          <w:b/>
          <w:color w:val="auto"/>
          <w:sz w:val="44"/>
          <w:szCs w:val="44"/>
          <w:highlight w:val="none"/>
        </w:rPr>
      </w:pPr>
    </w:p>
    <w:p>
      <w:pPr>
        <w:pStyle w:val="23"/>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1.财政拨款收入：指单位从同级财政部门取得的财政预算资金。</w:t>
      </w:r>
    </w:p>
    <w:p>
      <w:pPr>
        <w:pStyle w:val="23"/>
        <w:spacing w:line="560" w:lineRule="exact"/>
        <w:ind w:firstLine="640" w:firstLineChars="200"/>
        <w:rPr>
          <w:rFonts w:hint="eastAsia" w:eastAsia="方正仿宋简体" w:cs="Times New Roman"/>
          <w:color w:val="000000"/>
          <w:kern w:val="0"/>
          <w:sz w:val="32"/>
          <w:szCs w:val="32"/>
          <w:lang w:val="en-US" w:eastAsia="zh-CN"/>
        </w:rPr>
      </w:pPr>
      <w:r>
        <w:rPr>
          <w:rFonts w:hint="eastAsia" w:ascii="Times New Roman" w:hAnsi="Times New Roman" w:eastAsia="方正仿宋简体" w:cs="Times New Roman"/>
          <w:color w:val="000000"/>
          <w:kern w:val="0"/>
          <w:sz w:val="32"/>
          <w:szCs w:val="32"/>
          <w:highlight w:val="none"/>
          <w:lang w:val="en-US" w:eastAsia="zh-CN" w:bidi="ar-SA"/>
        </w:rPr>
        <w:t>2</w:t>
      </w:r>
      <w:r>
        <w:rPr>
          <w:rFonts w:hint="default" w:ascii="Times New Roman" w:hAnsi="Times New Roman" w:eastAsia="方正仿宋简体" w:cs="Times New Roman"/>
          <w:color w:val="000000"/>
          <w:kern w:val="0"/>
          <w:sz w:val="32"/>
          <w:szCs w:val="32"/>
          <w:highlight w:val="none"/>
          <w:lang w:val="en-US" w:eastAsia="zh-CN" w:bidi="ar-SA"/>
        </w:rPr>
        <w:t>.一般公共服务（类）政府办公厅（室）及相关机构事务（款）其他政府办公厅（室）及相关机构事务支出（项）：指政府办公厅（室）及相关机构事务未包括的其他政府办公厅（室）及相关机构事务支出</w:t>
      </w:r>
      <w:r>
        <w:rPr>
          <w:rFonts w:hint="default" w:ascii="Times New Roman" w:hAnsi="Times New Roman" w:eastAsia="方正仿宋简体" w:cs="Times New Roman"/>
          <w:color w:val="000000"/>
          <w:kern w:val="0"/>
          <w:sz w:val="32"/>
          <w:szCs w:val="32"/>
          <w:highlight w:val="none"/>
        </w:rPr>
        <w:t>。</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3</w:t>
      </w:r>
      <w:r>
        <w:rPr>
          <w:rFonts w:hint="default" w:ascii="Times New Roman" w:hAnsi="Times New Roman" w:eastAsia="方正仿宋简体" w:cs="Times New Roman"/>
          <w:color w:val="000000"/>
          <w:kern w:val="0"/>
          <w:sz w:val="32"/>
          <w:szCs w:val="32"/>
        </w:rPr>
        <w:t>.一般公共服务（类）其他一般公共服务支出（款）其他一般公共服务支出（项）</w:t>
      </w:r>
      <w:r>
        <w:rPr>
          <w:rFonts w:hint="eastAsia" w:eastAsia="方正仿宋简体" w:cs="Times New Roman"/>
          <w:sz w:val="32"/>
          <w:szCs w:val="32"/>
          <w:lang w:eastAsia="zh-CN"/>
        </w:rPr>
        <w:t>：</w:t>
      </w:r>
      <w:r>
        <w:rPr>
          <w:rFonts w:hint="default" w:ascii="Times New Roman" w:hAnsi="Times New Roman" w:eastAsia="方正仿宋简体" w:cs="Times New Roman"/>
          <w:color w:val="000000"/>
          <w:kern w:val="0"/>
          <w:sz w:val="32"/>
          <w:szCs w:val="32"/>
        </w:rPr>
        <w:t>指一般公共服务未包括的一般公共服务支出。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val="en-US" w:eastAsia="zh-CN"/>
        </w:rPr>
        <w:t>4</w:t>
      </w:r>
      <w:r>
        <w:rPr>
          <w:rFonts w:hint="default" w:ascii="Times New Roman" w:hAnsi="Times New Roman" w:eastAsia="方正仿宋简体" w:cs="Times New Roman"/>
          <w:color w:val="000000"/>
          <w:kern w:val="0"/>
          <w:sz w:val="32"/>
          <w:szCs w:val="32"/>
        </w:rPr>
        <w:t>.教育（类）进修及培训（款）培训支出（项）：指各部门安排的用于培训的支出。</w:t>
      </w:r>
    </w:p>
    <w:p>
      <w:pPr>
        <w:spacing w:line="600" w:lineRule="exact"/>
        <w:ind w:firstLine="640" w:firstLineChars="200"/>
        <w:rPr>
          <w:rFonts w:hint="default" w:ascii="Times New Roman" w:hAnsi="Times New Roman" w:eastAsia="方正仿宋简体" w:cs="Times New Roman"/>
          <w:color w:val="000000"/>
          <w:kern w:val="0"/>
          <w:sz w:val="32"/>
          <w:szCs w:val="32"/>
          <w:highlight w:val="none"/>
          <w:lang w:eastAsia="zh-CN"/>
        </w:rPr>
      </w:pPr>
      <w:r>
        <w:rPr>
          <w:rFonts w:hint="eastAsia" w:eastAsia="方正仿宋简体" w:cs="Times New Roman"/>
          <w:color w:val="000000"/>
          <w:kern w:val="0"/>
          <w:sz w:val="32"/>
          <w:szCs w:val="32"/>
          <w:highlight w:val="none"/>
          <w:lang w:val="en-US" w:eastAsia="zh-CN"/>
        </w:rPr>
        <w:t>5</w:t>
      </w:r>
      <w:r>
        <w:rPr>
          <w:rFonts w:hint="default" w:ascii="Times New Roman" w:hAnsi="Times New Roman" w:eastAsia="方正仿宋简体" w:cs="Times New Roman"/>
          <w:color w:val="000000"/>
          <w:kern w:val="0"/>
          <w:sz w:val="32"/>
          <w:szCs w:val="32"/>
          <w:highlight w:val="none"/>
          <w:lang w:val="en-US" w:eastAsia="zh-CN"/>
        </w:rPr>
        <w:t>.</w:t>
      </w:r>
      <w:r>
        <w:rPr>
          <w:rFonts w:hint="default" w:ascii="Times New Roman" w:hAnsi="Times New Roman" w:eastAsia="方正仿宋简体" w:cs="Times New Roman"/>
          <w:color w:val="000000"/>
          <w:kern w:val="0"/>
          <w:sz w:val="32"/>
          <w:szCs w:val="32"/>
          <w:highlight w:val="none"/>
        </w:rPr>
        <w:t>教育（类）进修及培训（款）退役士兵能力提升（项</w:t>
      </w:r>
      <w:r>
        <w:rPr>
          <w:rFonts w:hint="default" w:ascii="Times New Roman" w:hAnsi="Times New Roman" w:eastAsia="方正仿宋简体" w:cs="Times New Roman"/>
          <w:color w:val="000000"/>
          <w:kern w:val="0"/>
          <w:sz w:val="32"/>
          <w:szCs w:val="32"/>
          <w:highlight w:val="none"/>
          <w:lang w:val="en-US" w:eastAsia="zh-CN"/>
        </w:rPr>
        <w:t>)：</w:t>
      </w:r>
      <w:r>
        <w:rPr>
          <w:rFonts w:hint="default" w:ascii="Times New Roman" w:hAnsi="Times New Roman" w:eastAsia="方正仿宋简体" w:cs="Times New Roman"/>
          <w:color w:val="000000"/>
          <w:kern w:val="0"/>
          <w:sz w:val="32"/>
          <w:szCs w:val="32"/>
          <w:highlight w:val="none"/>
        </w:rPr>
        <w:t>指</w:t>
      </w:r>
      <w:r>
        <w:rPr>
          <w:rFonts w:hint="default" w:ascii="Times New Roman" w:hAnsi="Times New Roman" w:eastAsia="方正仿宋简体" w:cs="Times New Roman"/>
          <w:color w:val="000000"/>
          <w:kern w:val="0"/>
          <w:sz w:val="32"/>
          <w:szCs w:val="32"/>
          <w:highlight w:val="none"/>
          <w:lang w:eastAsia="zh-CN"/>
        </w:rPr>
        <w:t>退役士兵技能培训支出，以及转业士官待分配期间培训支出。</w:t>
      </w:r>
    </w:p>
    <w:p>
      <w:pPr>
        <w:spacing w:line="600" w:lineRule="exact"/>
        <w:ind w:firstLine="640" w:firstLineChars="200"/>
        <w:rPr>
          <w:rFonts w:hint="default" w:ascii="Times New Roman" w:hAnsi="Times New Roman" w:eastAsia="方正仿宋简体" w:cs="Times New Roman"/>
          <w:color w:val="000000"/>
          <w:kern w:val="0"/>
          <w:sz w:val="32"/>
          <w:szCs w:val="32"/>
          <w:highlight w:val="none"/>
          <w:lang w:eastAsia="zh-CN"/>
        </w:rPr>
      </w:pPr>
      <w:r>
        <w:rPr>
          <w:rFonts w:hint="eastAsia" w:eastAsia="方正仿宋简体" w:cs="Times New Roman"/>
          <w:color w:val="000000"/>
          <w:kern w:val="0"/>
          <w:sz w:val="32"/>
          <w:szCs w:val="32"/>
          <w:highlight w:val="none"/>
          <w:lang w:val="en-US" w:eastAsia="zh-CN"/>
        </w:rPr>
        <w:t>6</w:t>
      </w:r>
      <w:r>
        <w:rPr>
          <w:rFonts w:hint="default" w:ascii="Times New Roman" w:hAnsi="Times New Roman" w:eastAsia="方正仿宋简体" w:cs="Times New Roman"/>
          <w:color w:val="000000"/>
          <w:kern w:val="0"/>
          <w:sz w:val="32"/>
          <w:szCs w:val="32"/>
          <w:highlight w:val="none"/>
        </w:rPr>
        <w:t>.社会保障和就业（类）人力资源和社会保障管理事务（款）行政运行（项）</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指行政单位（包括实行公务员管理的</w:t>
      </w:r>
      <w:r>
        <w:rPr>
          <w:rFonts w:hint="default" w:ascii="Times New Roman" w:hAnsi="Times New Roman" w:eastAsia="方正仿宋简体" w:cs="Times New Roman"/>
          <w:color w:val="000000"/>
          <w:kern w:val="0"/>
          <w:sz w:val="32"/>
          <w:szCs w:val="32"/>
        </w:rPr>
        <w:t>事业单位）的基本支出。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7.社会保障和就业（类）行政事业单位离退休（款）行政单位离退休（项）：指行政单位（包括实行公务员管理的事业单位）开支的离退休经费。</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8.社会保障和就业（类）行政事业单位离退休（款）机关事业单位基本养老保险缴费支出（项）：指机关事业单位实施养老制度由单位缴纳的基本养老保险费支出。</w:t>
      </w:r>
    </w:p>
    <w:p>
      <w:pPr>
        <w:spacing w:line="60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9.社会保障和就业（类）行政事业单位离退休（款）机关事业单位职业年金缴费支出（项）：指机关事业单位实施养老保险制度由单位实际缴纳的职业年金支出。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10.社会保障和就业（类）就业补助（款）其他就业补助支出（项）：指除上述科目以外按规定确定的其他用于促进就业的补助支出。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11.社会保障和就业（类）退役军人管理事务（款）行政运行（项）：指行政单位（包括实行公务员管理的事业单位）的基本支出。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12.社会保障和就业（类）退役军人管理事务（款）一般行政管理事务（项）：指行政单位（包括实行公务员管理的事业单位）的单独设置项级科目的其他项目支出。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13.社会保障和就业（类）退役军人管理事务（款）拥军优属（项）：指开展拥军优属活动的支出。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14.社会保障和就业（类）退役军人管理事务（款）其他退役军人管理事务（项）：指其他用于退役军人事务管理方面的支出。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15.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16.卫生健康（类）行政事业单位医疗（款）公务员医疗补助（项）：指财政部门安排的公务员医疗补助经费。</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17.住房保障（类）住房改革支出（款）住房公积金（项）：指行政事业单位按人力资源和社会保障部、财政部规定的基本工资和津贴补贴以及规定比例为职工缴纳的住房公积金。     </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18.住房保障（类）住房改革支出（款）购房补贴（项）：指按房改政策规定，行政事业单位向符合条件职工（含离退休人员）、军队（含武警）向转役复员离退休人员发放的用于购买住房的补贴。</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19.基本支出：指为保障机构正常运转、完成日常工作任务而发生的人员支出和公用支出。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20.项目支出：指在基本支出之外为完成特定行政任务和事业发展目标所发生的支出。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pStyle w:val="5"/>
        <w:spacing w:before="93"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bookmarkStart w:id="51" w:name="_Toc15396614"/>
      <w:bookmarkStart w:id="52" w:name="_Toc15377226"/>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Fonts w:hint="eastAsia" w:ascii="黑体" w:hAnsi="黑体" w:eastAsia="黑体"/>
          <w:color w:val="auto"/>
          <w:sz w:val="44"/>
          <w:szCs w:val="44"/>
          <w:highlight w:val="none"/>
        </w:rPr>
      </w:pPr>
    </w:p>
    <w:p>
      <w:pPr>
        <w:pageBreakBefore w:val="0"/>
        <w:kinsoku/>
        <w:wordWrap/>
        <w:overflowPunct/>
        <w:topLinePunct w:val="0"/>
        <w:bidi w:val="0"/>
        <w:snapToGrid/>
        <w:spacing w:line="600" w:lineRule="exact"/>
        <w:jc w:val="center"/>
        <w:textAlignment w:val="auto"/>
        <w:outlineLvl w:val="0"/>
        <w:rPr>
          <w:rStyle w:val="16"/>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16"/>
          <w:rFonts w:hint="eastAsia" w:ascii="黑体" w:hAnsi="黑体" w:eastAsia="黑体"/>
          <w:b w:val="0"/>
          <w:color w:val="auto"/>
          <w:highlight w:val="none"/>
        </w:rPr>
        <w:t>四部分 附件</w:t>
      </w:r>
    </w:p>
    <w:bookmarkEnd w:id="51"/>
    <w:tbl>
      <w:tblPr>
        <w:tblStyle w:val="12"/>
        <w:tblpPr w:leftFromText="180" w:rightFromText="180" w:vertAnchor="text" w:horzAnchor="page" w:tblpX="742" w:tblpY="609"/>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943"/>
        <w:gridCol w:w="972"/>
        <w:gridCol w:w="1206"/>
        <w:gridCol w:w="929"/>
        <w:gridCol w:w="958"/>
        <w:gridCol w:w="958"/>
        <w:gridCol w:w="965"/>
        <w:gridCol w:w="943"/>
        <w:gridCol w:w="95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51000021T000000081507-上年结转-劳务费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为保障机关正常办公和业务开展，采购安全保卫及临时交办的其他服务工作。</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保障机关正常办公和业务开展，更好地做好安全保卫及临时交办的其他服务工作。预算完成91.06万元。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为保障机关正常办公和业务开展，更好地做好安全保卫及临时交办的其他服务工作。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91.06</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91.06</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聘请机关安保人员</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保障机关正常运行</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劳务费成本控制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91.06</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自评得分100分，高标准地完成好机关的安全保卫工作，严格保密制度，做好安全防范。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51000021T000000081748-慰问费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慰问驻川基层部队、部队医院、伤残军人休养院、干休所等，慰问全省重点优抚对象，引领促进全省拥军优属工作。</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完成慰问驻川基层部队、部队医院、伤残军人休养院、干休所、全省重点优抚对象，引领促进全省拥军优属工作。预算完成641.39万元。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慰问驻川基层部队、部队医院、伤残军人休养院、干休所等，慰问全省重点优抚对象，引领促进全省拥军优属工作。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641.39</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641.39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641.39</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641.39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完成全年慰问任务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慰问任务完成时间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营造出全社会崇军拥军的良好氛围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部队官兵满意度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慰问费成本控制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649.88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641.39</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项目自评总分100分，在春节、八一期间走访慰问驻川部队官兵，他们一致感受到省委省政府对他们的关心厚爱，幸福感、满意度不断提升。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51000022T000004933816-就业创业补助资金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省级退役军人就业创业产业园（工作站）签订开展退役军人就业创业扶持工作委托协议，开展退役军人就业创业之星推选活动发布，开展退役军人基础建设服务、退役军人就业展览展示、退役军人就业创业系列示范培训、退役军人就业创业导师队伍建设、退役军人网络招聘服务等项目，促进退役军人就业创业。</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了退役军人就业创业之星推选活动发布、退役军人基础建设服务、退役军人就业成果展览、退役军人就业创业系列示范培训（3批次）、退役军人就业创业导师队伍建设、就业创业技能提升、“戎耀归蜀”退役军人线上线下招聘服务等项目，促进退役军人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选宣传退役军人就业创业之星，加强退役军人基础建设服务，开展退役军人就业成果展览、退役军人就业创业系列示范培训（3批次）、退役军人就业创业导师队伍建设、就业创业技能提升、“戎耀归蜀”退役军人线上线下招聘服务等项目，进一步促进退役军人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406.14</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58.67</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5.87 </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因疫情原因，部分项目延期，资金结算滞后。结转下年支付167.84万元。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406.14</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58.67%</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服务退役军人就业创业人数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22908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培训退役军人人数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退役军人职业技能提升活动获奖人数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退役军人就业创业之星数量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服务退役军人创业企业数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完职业技能提升活动时间、完成培训时间、完成退役军人就业创业之星推选活动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培训活动已按时完成。职业技能提升活动于2023年2月完成；退役军人就业创业之星推选活动于2023年3月完成。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职业技能提升活动和退役军人就业创业之星推选活动因疫情原因推迟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退役军人就业创业可持续影响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83.3</w:t>
            </w:r>
            <w:r>
              <w:rPr>
                <w:rFonts w:ascii="宋体" w:hAnsi="宋体" w:eastAsia="宋体" w:cs="宋体"/>
                <w:i w:val="0"/>
                <w:iCs w:val="0"/>
                <w:color w:val="000000"/>
                <w:kern w:val="0"/>
                <w:sz w:val="18"/>
                <w:szCs w:val="18"/>
                <w:u w:val="none"/>
                <w:lang w:val="en-US" w:eastAsia="zh-CN" w:bidi="ar"/>
              </w:rPr>
              <w:t xml:space="preserve">7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该项目自评得分</w:t>
            </w:r>
            <w:r>
              <w:rPr>
                <w:rFonts w:hint="eastAsia" w:ascii="宋体" w:hAnsi="宋体" w:cs="宋体"/>
                <w:i w:val="0"/>
                <w:iCs w:val="0"/>
                <w:color w:val="000000"/>
                <w:kern w:val="0"/>
                <w:sz w:val="18"/>
                <w:szCs w:val="18"/>
                <w:u w:val="none"/>
                <w:lang w:val="en-US" w:eastAsia="zh-CN" w:bidi="ar"/>
              </w:rPr>
              <w:t>83.3</w:t>
            </w:r>
            <w:r>
              <w:rPr>
                <w:rFonts w:ascii="宋体" w:hAnsi="宋体" w:eastAsia="宋体" w:cs="宋体"/>
                <w:i w:val="0"/>
                <w:iCs w:val="0"/>
                <w:color w:val="000000"/>
                <w:kern w:val="0"/>
                <w:sz w:val="18"/>
                <w:szCs w:val="18"/>
                <w:u w:val="none"/>
                <w:lang w:val="en-US" w:eastAsia="zh-CN" w:bidi="ar"/>
              </w:rPr>
              <w:t>7</w:t>
            </w:r>
            <w:r>
              <w:rPr>
                <w:rFonts w:ascii="宋体" w:hAnsi="宋体" w:eastAsia="宋体" w:cs="宋体"/>
                <w:i w:val="0"/>
                <w:iCs w:val="0"/>
                <w:color w:val="000000"/>
                <w:kern w:val="0"/>
                <w:sz w:val="18"/>
                <w:szCs w:val="18"/>
                <w:u w:val="none"/>
                <w:lang w:val="en-US" w:eastAsia="zh-CN" w:bidi="ar"/>
              </w:rPr>
              <w:t>分，预期目标完成。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因疫情等不可抗力因素，导致部分项目延期完成。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整理归档相关材料，加快项目尾款结算。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51000022T000004994819-上年结转-物业管理费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根据《中华人民共和国民法典合同编》、《中华人民共和国政府采购法》与项目行业有关的法律法规规定， 为保障机关办公室、会议室、停车场及各类设施设备的管理、维护，采购包括前台接待服务，会议服务，房屋建筑本体、共用部分的日常维护、管理服务，卫生保洁服务及临时交办的其他物业管理范畴的服务。本采购项目服务年限为3年，合同一年一签，为续签合同。</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按年度完成了合同约定内容。预算完成31.25万元。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本采购项目服务年限为3年，合同一年一签，为续签合同。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聘用物业管理人数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保障机关正常运行</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物业管理费成本控制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自评得分100分。物业服务内容完整，保洁、会务保障、安保、维修维保等服务质量优秀。每月考核评分均在92份以上，较好满足我厅要求。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51000022T000004994995-上年结转-四川省省直机关办公用房维修专项资金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省机关事务管理局《四川省省级机关办公用房维修管理实施办法》（川机管发〔2020〕130号，明确“省级机关办公用房大中修实行规划管理制度，据省机关事务管理局会同省发改委、财政厅每3年编制省级机关办公用房维修规划”，我厅厅办公楼屋面及室外地面属急需且符合有关大中维修项目，纳入规划项目，主要包含两方面的改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（一）附楼及主楼屋面防水屋面维修面积约1357㎡维修改造。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（二）院内停车场地面约为2600㎡改造（局部拆除及修补、地基处理、表面沥青砼黑化），地面标志标线及车挡等。</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按年度完成了合同约定内容。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本项目监理、设计、造价、造价评审属于分散采购项目，委托社会代理机构组织采购。2.施工属于集采项目，由省政府采购中心组织实施采购程序，采购方式是竞争性磋商，成交供应商是遂宁朝鑫建筑工程有限公司，成交金额160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162.18</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162.18</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完成屋面防水维修</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1357</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使用年限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自评得分100分。该工程是按时按量按质完成，共工程质量优秀。但由于花台异形太多，所贴石材存在部分细节处理不到位的情形。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51000022T000006883396-省直机关公务用车大修费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完成车辆大型维修</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完成了车辆大型维修，预算完成4.5万元。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机关事务管理局关于报送2022年度公务用车配备更新和大修申请的通知》要求，呈报《四川省退役军人事务厅关于申请批准2022年度公务用车大修的函》，收到关于下达2022年度省直机关公务用车大修专项资金的通知后，通过公务用车管理平台，按要求执行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维修次数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使用年限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机关工作人员满意度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公务用车维修费用成本控制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自评得分100分。保障了机关日常出行活动。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51000022T000007306502-电力变压器增容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 （盖章）</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新增一台400kva的电力变压器，解决信息化一期工程供电不足的问题 。</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完成电力变压器安装，解决了信息化一期工程供电问题。预算完成28.96万元。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是临时紧急项目,因项目资金未达到政府采购限额标准，不属于政府采购项目。由我厅按照内控制度规定自行组织采购完成，采购方式参照竞争性谈判方式。成交供应商四川国信达建设工程有限公司，成交价28.9639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28.96</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28.96</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设备质量合格率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安装工程验收合格率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设备使用年限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等线" w:hAnsi="等线" w:eastAsia="等线" w:cs="等线"/>
                <w:i w:val="0"/>
                <w:iCs w:val="0"/>
                <w:color w:val="000000"/>
                <w:kern w:val="0"/>
                <w:sz w:val="16"/>
                <w:szCs w:val="16"/>
                <w:u w:val="none"/>
                <w:lang w:val="en-US" w:eastAsia="zh-CN" w:bidi="ar"/>
              </w:rPr>
              <w:t>〉</w:t>
            </w:r>
            <w:r>
              <w:rPr>
                <w:rFonts w:hint="eastAsia" w:ascii="微软雅黑" w:hAnsi="微软雅黑" w:eastAsia="微软雅黑" w:cs="微软雅黑"/>
                <w:i/>
                <w:iCs/>
                <w:color w:val="000000"/>
                <w:kern w:val="0"/>
                <w:sz w:val="16"/>
                <w:szCs w:val="16"/>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使用人员满意度</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电力变压器费用成本控制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28.96</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自评得分100分。本项目按质按量完成，经电力主管部门验收合格。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ageBreakBefore w:val="0"/>
        <w:kinsoku/>
        <w:wordWrap/>
        <w:overflowPunct/>
        <w:topLinePunct w:val="0"/>
        <w:bidi w:val="0"/>
        <w:snapToGrid/>
        <w:spacing w:line="600" w:lineRule="exact"/>
        <w:jc w:val="center"/>
        <w:textAlignment w:val="auto"/>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6"/>
          <w:rFonts w:hint="eastAsia" w:ascii="黑体" w:hAnsi="黑体" w:eastAsia="黑体"/>
          <w:b w:val="0"/>
          <w:color w:val="auto"/>
          <w:highlight w:val="none"/>
        </w:rPr>
        <w:t>五部分 附表</w:t>
      </w:r>
      <w:bookmarkStart w:id="54" w:name="_Toc15396619"/>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3"/>
        <w:pageBreakBefore w:val="0"/>
        <w:kinsoku/>
        <w:wordWrap/>
        <w:overflowPunct/>
        <w:topLinePunct w:val="0"/>
        <w:bidi w:val="0"/>
        <w:snapToGrid/>
        <w:spacing w:line="600" w:lineRule="exact"/>
        <w:textAlignment w:val="auto"/>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3"/>
        <w:pageBreakBefore w:val="0"/>
        <w:kinsoku/>
        <w:wordWrap/>
        <w:overflowPunct/>
        <w:topLinePunct w:val="0"/>
        <w:bidi w:val="0"/>
        <w:snapToGrid/>
        <w:spacing w:line="600" w:lineRule="exact"/>
        <w:textAlignment w:val="auto"/>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pageBreakBefore w:val="0"/>
        <w:kinsoku/>
        <w:wordWrap/>
        <w:overflowPunct/>
        <w:topLinePunct w:val="0"/>
        <w:bidi w:val="0"/>
        <w:snapToGrid/>
        <w:spacing w:line="600" w:lineRule="exact"/>
        <w:textAlignment w:val="auto"/>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3"/>
        <w:pageBreakBefore w:val="0"/>
        <w:kinsoku/>
        <w:wordWrap/>
        <w:overflowPunct/>
        <w:topLinePunct w:val="0"/>
        <w:bidi w:val="0"/>
        <w:snapToGrid/>
        <w:spacing w:line="600" w:lineRule="exact"/>
        <w:textAlignment w:val="auto"/>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p>
      <w:pPr>
        <w:pStyle w:val="5"/>
        <w:pageBreakBefore w:val="0"/>
        <w:kinsoku/>
        <w:wordWrap/>
        <w:overflowPunct/>
        <w:topLinePunct w:val="0"/>
        <w:bidi w:val="0"/>
        <w:snapToGrid/>
        <w:spacing w:line="600" w:lineRule="exact"/>
        <w:textAlignment w:val="auto"/>
        <w:rPr>
          <w:rFonts w:hint="eastAsia" w:ascii="仿宋_GB2312" w:hAnsi="Calibri" w:eastAsia="仿宋_GB2312" w:cs="仿宋"/>
          <w:color w:val="auto"/>
          <w:kern w:val="0"/>
          <w:sz w:val="32"/>
          <w:szCs w:val="32"/>
          <w:highlight w:val="none"/>
          <w:lang w:val="en-US" w:eastAsia="zh-CN" w:bidi="ar-SA"/>
        </w:rPr>
      </w:pPr>
    </w:p>
    <w:p>
      <w:pPr>
        <w:pStyle w:val="5"/>
        <w:pageBreakBefore w:val="0"/>
        <w:kinsoku/>
        <w:wordWrap/>
        <w:overflowPunct/>
        <w:topLinePunct w:val="0"/>
        <w:bidi w:val="0"/>
        <w:snapToGrid/>
        <w:spacing w:line="600" w:lineRule="exact"/>
        <w:textAlignment w:val="auto"/>
        <w:rPr>
          <w:rFonts w:hint="eastAsia" w:ascii="仿宋_GB2312" w:hAnsi="Calibri" w:eastAsia="仿宋_GB2312" w:cs="仿宋"/>
          <w:color w:val="auto"/>
          <w:kern w:val="0"/>
          <w:sz w:val="32"/>
          <w:szCs w:val="32"/>
          <w:highlight w:val="none"/>
          <w:lang w:val="en-US" w:eastAsia="zh-CN" w:bidi="ar-SA"/>
        </w:rPr>
      </w:pPr>
    </w:p>
    <w:bookmarkEnd w:id="52"/>
    <w:bookmarkEnd w:id="53"/>
    <w:p>
      <w:pPr>
        <w:pageBreakBefore w:val="0"/>
        <w:kinsoku/>
        <w:wordWrap/>
        <w:overflowPunct/>
        <w:topLinePunct w:val="0"/>
        <w:bidi w:val="0"/>
        <w:snapToGrid/>
        <w:spacing w:line="600" w:lineRule="exact"/>
        <w:jc w:val="both"/>
        <w:textAlignment w:val="auto"/>
        <w:outlineLvl w:val="0"/>
        <w:rPr>
          <w:rFonts w:hint="eastAsia" w:ascii="黑体" w:hAnsi="黑体" w:eastAsia="黑体"/>
          <w:color w:val="auto"/>
          <w:sz w:val="44"/>
          <w:szCs w:val="44"/>
          <w:highlight w:val="none"/>
          <w:lang w:eastAsia="zh-CN"/>
        </w:rPr>
      </w:pPr>
    </w:p>
    <w:sectPr>
      <w:footerReference r:id="rId10" w:type="first"/>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8"/>
      <w:tabs>
        <w:tab w:val="right" w:pos="9184"/>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p>
                    </w:sdtContent>
                  </w:sdt>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4BACC6" w:themeColor="accent5"/>
        <w14:textFill>
          <w14:solidFill>
            <w14:schemeClr w14:val="accent5"/>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50EC5EC"/>
    <w:multiLevelType w:val="singleLevel"/>
    <w:tmpl w:val="050EC5E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lmODcxMzc5ODBjMTBlM2YxMGI3ZWM2M2ViY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E07A24"/>
    <w:rsid w:val="06352534"/>
    <w:rsid w:val="0679427F"/>
    <w:rsid w:val="06A91CB6"/>
    <w:rsid w:val="06D51253"/>
    <w:rsid w:val="08AF5C17"/>
    <w:rsid w:val="0A2032A3"/>
    <w:rsid w:val="0A8F3F52"/>
    <w:rsid w:val="0B8A37D8"/>
    <w:rsid w:val="0BBB3F60"/>
    <w:rsid w:val="0DE87C01"/>
    <w:rsid w:val="0F0A768C"/>
    <w:rsid w:val="10A00F19"/>
    <w:rsid w:val="10C055FF"/>
    <w:rsid w:val="118107EC"/>
    <w:rsid w:val="11B30526"/>
    <w:rsid w:val="11DD6519"/>
    <w:rsid w:val="13293DF2"/>
    <w:rsid w:val="157065E8"/>
    <w:rsid w:val="157E7936"/>
    <w:rsid w:val="16BB723D"/>
    <w:rsid w:val="18015F3F"/>
    <w:rsid w:val="1BE8440E"/>
    <w:rsid w:val="1D155CEE"/>
    <w:rsid w:val="1F6D0415"/>
    <w:rsid w:val="201B5C14"/>
    <w:rsid w:val="20F57F95"/>
    <w:rsid w:val="232A73DC"/>
    <w:rsid w:val="240371BF"/>
    <w:rsid w:val="24AC53F6"/>
    <w:rsid w:val="25711CC6"/>
    <w:rsid w:val="25C741E6"/>
    <w:rsid w:val="26094761"/>
    <w:rsid w:val="27842671"/>
    <w:rsid w:val="29F37B5C"/>
    <w:rsid w:val="29FD04D3"/>
    <w:rsid w:val="2ABE7A3E"/>
    <w:rsid w:val="2CA234A8"/>
    <w:rsid w:val="2EFA178C"/>
    <w:rsid w:val="30B46D73"/>
    <w:rsid w:val="310F699B"/>
    <w:rsid w:val="31967716"/>
    <w:rsid w:val="319F7F4E"/>
    <w:rsid w:val="36CF10AF"/>
    <w:rsid w:val="383D272C"/>
    <w:rsid w:val="39AE70AB"/>
    <w:rsid w:val="3ADE2ED0"/>
    <w:rsid w:val="3C0C0783"/>
    <w:rsid w:val="3CE26753"/>
    <w:rsid w:val="3D042ABE"/>
    <w:rsid w:val="3E562F1D"/>
    <w:rsid w:val="3E630A5B"/>
    <w:rsid w:val="3F9F3A96"/>
    <w:rsid w:val="419F06BF"/>
    <w:rsid w:val="43106CD7"/>
    <w:rsid w:val="46B952E9"/>
    <w:rsid w:val="48BF60AB"/>
    <w:rsid w:val="48D05D45"/>
    <w:rsid w:val="493C27E9"/>
    <w:rsid w:val="496F39ED"/>
    <w:rsid w:val="49FF41D3"/>
    <w:rsid w:val="4B026252"/>
    <w:rsid w:val="4BE068DB"/>
    <w:rsid w:val="4BF6002B"/>
    <w:rsid w:val="4D907218"/>
    <w:rsid w:val="4DAC3FB3"/>
    <w:rsid w:val="4ECE2238"/>
    <w:rsid w:val="51DA7901"/>
    <w:rsid w:val="51DB4B86"/>
    <w:rsid w:val="52CB0AA7"/>
    <w:rsid w:val="53C35F16"/>
    <w:rsid w:val="55333C3E"/>
    <w:rsid w:val="56C62F15"/>
    <w:rsid w:val="56DF32BB"/>
    <w:rsid w:val="57602A7E"/>
    <w:rsid w:val="578C0BCA"/>
    <w:rsid w:val="58E73AE2"/>
    <w:rsid w:val="5B3B68B4"/>
    <w:rsid w:val="5B683BE3"/>
    <w:rsid w:val="5BB47F86"/>
    <w:rsid w:val="5D415028"/>
    <w:rsid w:val="5E190CDE"/>
    <w:rsid w:val="601E25DC"/>
    <w:rsid w:val="638147CB"/>
    <w:rsid w:val="64734D73"/>
    <w:rsid w:val="64CA39A1"/>
    <w:rsid w:val="6612673F"/>
    <w:rsid w:val="680C2FBF"/>
    <w:rsid w:val="68F96DB8"/>
    <w:rsid w:val="69630ADE"/>
    <w:rsid w:val="6C4A05C8"/>
    <w:rsid w:val="6D3B1A89"/>
    <w:rsid w:val="6F3E7AA0"/>
    <w:rsid w:val="710F2F9F"/>
    <w:rsid w:val="71BF4EC2"/>
    <w:rsid w:val="72734D90"/>
    <w:rsid w:val="729046D3"/>
    <w:rsid w:val="73ED5DA0"/>
    <w:rsid w:val="7412278C"/>
    <w:rsid w:val="741329C0"/>
    <w:rsid w:val="75A2302E"/>
    <w:rsid w:val="75A66E6C"/>
    <w:rsid w:val="79E7B28D"/>
    <w:rsid w:val="7C501917"/>
    <w:rsid w:val="7D670F6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1 Char"/>
    <w:basedOn w:val="13"/>
    <w:link w:val="2"/>
    <w:qFormat/>
    <w:uiPriority w:val="9"/>
    <w:rPr>
      <w:rFonts w:ascii="Times New Roman" w:hAnsi="Times New Roman"/>
      <w:b/>
      <w:bCs/>
      <w:kern w:val="44"/>
      <w:sz w:val="44"/>
      <w:szCs w:val="44"/>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91"/>
    <w:basedOn w:val="13"/>
    <w:qFormat/>
    <w:uiPriority w:val="0"/>
    <w:rPr>
      <w:rFonts w:ascii="等线" w:hAnsi="等线" w:eastAsia="等线" w:cs="等线"/>
      <w:color w:val="000000"/>
      <w:sz w:val="16"/>
      <w:szCs w:val="16"/>
      <w:u w:val="none"/>
    </w:rPr>
  </w:style>
  <w:style w:type="character" w:customStyle="1" w:styleId="31">
    <w:name w:val="font51"/>
    <w:basedOn w:val="13"/>
    <w:qFormat/>
    <w:uiPriority w:val="0"/>
    <w:rPr>
      <w:rFonts w:hint="eastAsia" w:ascii="微软雅黑" w:hAnsi="微软雅黑" w:eastAsia="微软雅黑" w:cs="微软雅黑"/>
      <w:i/>
      <w:iCs/>
      <w:color w:val="000000"/>
      <w:sz w:val="16"/>
      <w:szCs w:val="16"/>
      <w:u w:val="none"/>
    </w:rPr>
  </w:style>
  <w:style w:type="character" w:customStyle="1" w:styleId="32">
    <w:name w:val="font81"/>
    <w:basedOn w:val="13"/>
    <w:qFormat/>
    <w:uiPriority w:val="0"/>
    <w:rPr>
      <w:rFonts w:hint="eastAsia" w:ascii="微软雅黑" w:hAnsi="微软雅黑" w:eastAsia="微软雅黑" w:cs="微软雅黑"/>
      <w:i/>
      <w:iCs/>
      <w:color w:val="000000"/>
      <w:sz w:val="16"/>
      <w:szCs w:val="16"/>
      <w:u w:val="none"/>
    </w:rPr>
  </w:style>
  <w:style w:type="character" w:customStyle="1" w:styleId="33">
    <w:name w:val="font112"/>
    <w:basedOn w:val="13"/>
    <w:qFormat/>
    <w:uiPriority w:val="0"/>
    <w:rPr>
      <w:rFonts w:ascii="等线" w:hAnsi="等线" w:eastAsia="等线" w:cs="等线"/>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defRPr>
            </a:pPr>
            <a:r>
              <a:rPr lang="zh-CN" altLang="en-US" sz="1080">
                <a:solidFill>
                  <a:schemeClr val="tx1"/>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rPr>
              <a:t>单位：万元</a:t>
            </a:r>
            <a:endParaRPr lang="zh-CN" altLang="en-US" sz="1080">
              <a:solidFill>
                <a:schemeClr val="tx1"/>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endParaRPr>
          </a:p>
        </c:rich>
      </c:tx>
      <c:layout>
        <c:manualLayout>
          <c:xMode val="edge"/>
          <c:yMode val="edge"/>
          <c:x val="0.828375873003978"/>
          <c:y val="0.0467047223663726"/>
        </c:manualLayout>
      </c:layout>
      <c:overlay val="0"/>
      <c:spPr>
        <a:noFill/>
        <a:ln>
          <a:noFill/>
        </a:ln>
        <a:effectLst/>
      </c:spPr>
    </c:title>
    <c:autoTitleDeleted val="0"/>
    <c:plotArea>
      <c:layout/>
      <c:barChart>
        <c:barDir val="col"/>
        <c:grouping val="clustered"/>
        <c:varyColors val="0"/>
        <c:ser>
          <c:idx val="0"/>
          <c:order val="0"/>
          <c:spPr>
            <a:solidFill>
              <a:schemeClr val="accent3"/>
            </a:solidFill>
            <a:ln>
              <a:noFill/>
            </a:ln>
            <a:sp3d>
              <a:extrusionClr>
                <a:srgbClr val="FFFFFF"/>
              </a:extrusionClr>
              <a:contourClr>
                <a:srgbClr val="FFFFFF"/>
              </a:contourClr>
            </a:sp3d>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#,##0.00_ </c:formatCode>
                <c:ptCount val="2"/>
                <c:pt idx="0">
                  <c:v>6471.69</c:v>
                </c:pt>
                <c:pt idx="1">
                  <c:v>6396.73</c:v>
                </c:pt>
              </c:numCache>
            </c:numRef>
          </c:val>
        </c:ser>
        <c:dLbls>
          <c:showLegendKey val="0"/>
          <c:showVal val="1"/>
          <c:showCatName val="0"/>
          <c:showSerName val="0"/>
          <c:showPercent val="0"/>
          <c:showBubbleSize val="0"/>
        </c:dLbls>
        <c:gapWidth val="219"/>
        <c:overlap val="-27"/>
        <c:axId val="145407360"/>
        <c:axId val="145417344"/>
      </c:barChart>
      <c:catAx>
        <c:axId val="145407360"/>
        <c:scaling>
          <c:orientation val="minMax"/>
        </c:scaling>
        <c:delete val="0"/>
        <c:axPos val="b"/>
        <c:majorTickMark val="out"/>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17344"/>
        <c:crosses val="autoZero"/>
        <c:auto val="1"/>
        <c:lblAlgn val="ctr"/>
        <c:lblOffset val="100"/>
        <c:noMultiLvlLbl val="0"/>
      </c:catAx>
      <c:valAx>
        <c:axId val="145417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0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0534011443103"/>
          <c:y val="0.28998968008256"/>
          <c:w val="0.433566433566434"/>
          <c:h val="0.703818369453044"/>
        </c:manualLayout>
      </c:layout>
      <c:pieChart>
        <c:varyColors val="1"/>
        <c:ser>
          <c:idx val="0"/>
          <c:order val="0"/>
          <c:tx>
            <c:strRef>
              <c:f>Sheet1!$B$1</c:f>
              <c:strCache>
                <c:ptCount val="1"/>
                <c:pt idx="0">
                  <c:v>销售额</c:v>
                </c:pt>
              </c:strCache>
            </c:strRef>
          </c:tx>
          <c:spPr>
            <a:gradFill>
              <a:gsLst>
                <a:gs pos="0">
                  <a:srgbClr val="FBFB11"/>
                </a:gs>
                <a:gs pos="100000">
                  <a:srgbClr val="838309"/>
                </a:gs>
              </a:gsLst>
              <a:lin scaled="0"/>
            </a:gradFill>
          </c:spPr>
          <c:explosion val="0"/>
          <c:dPt>
            <c:idx val="0"/>
            <c:bubble3D val="0"/>
            <c:spPr>
              <a:gradFill>
                <a:gsLst>
                  <a:gs pos="0">
                    <a:srgbClr val="FBFB11"/>
                  </a:gs>
                  <a:gs pos="100000">
                    <a:srgbClr val="838309"/>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6396.73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ayout>
        <c:manualLayout>
          <c:xMode val="edge"/>
          <c:yMode val="edge"/>
          <c:x val="0.186819904633818"/>
          <c:y val="0.902893890675241"/>
          <c:w val="0.333781635896809"/>
          <c:h val="0.07138263665594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2974.25</c:v>
                </c:pt>
                <c:pt idx="1">
                  <c:v>3422.48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33521162033559"/>
          <c:y val="0.9182432432432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defRPr>
            </a:pPr>
            <a:r>
              <a:rPr lang="zh-CN" altLang="en-US" sz="1050">
                <a:solidFill>
                  <a:sysClr val="windowText" lastClr="000000"/>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rPr>
              <a:t>单位：万元</a:t>
            </a:r>
            <a:endParaRPr lang="zh-CN" altLang="en-US" sz="1050">
              <a:solidFill>
                <a:sysClr val="windowText" lastClr="000000"/>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endParaRPr>
          </a:p>
        </c:rich>
      </c:tx>
      <c:layout>
        <c:manualLayout>
          <c:xMode val="edge"/>
          <c:yMode val="edge"/>
          <c:x val="0.808668896549048"/>
          <c:y val="0.0499144324015975"/>
        </c:manualLayout>
      </c:layout>
      <c:overlay val="0"/>
      <c:spPr>
        <a:noFill/>
        <a:ln>
          <a:noFill/>
        </a:ln>
        <a:effectLst/>
      </c:spPr>
    </c:title>
    <c:autoTitleDeleted val="0"/>
    <c:plotArea>
      <c:layout/>
      <c:barChart>
        <c:barDir val="col"/>
        <c:grouping val="clustered"/>
        <c:varyColors val="0"/>
        <c:ser>
          <c:idx val="0"/>
          <c:order val="0"/>
          <c:spPr>
            <a:solidFill>
              <a:schemeClr val="accent4"/>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#,##0.00_ </c:formatCode>
                <c:ptCount val="2"/>
                <c:pt idx="0">
                  <c:v>6177.94</c:v>
                </c:pt>
                <c:pt idx="1">
                  <c:v>6396.73</c:v>
                </c:pt>
              </c:numCache>
            </c:numRef>
          </c:val>
        </c:ser>
        <c:dLbls>
          <c:showLegendKey val="0"/>
          <c:showVal val="1"/>
          <c:showCatName val="0"/>
          <c:showSerName val="0"/>
          <c:showPercent val="0"/>
          <c:showBubbleSize val="0"/>
        </c:dLbls>
        <c:gapWidth val="219"/>
        <c:overlap val="-27"/>
        <c:axId val="147257984"/>
        <c:axId val="148705664"/>
      </c:barChart>
      <c:catAx>
        <c:axId val="14725798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48705664"/>
        <c:crosses val="autoZero"/>
        <c:auto val="0"/>
        <c:lblAlgn val="ctr"/>
        <c:lblOffset val="100"/>
        <c:noMultiLvlLbl val="0"/>
      </c:catAx>
      <c:valAx>
        <c:axId val="14870566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4725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lang="zh-CN" altLang="en-US" sz="900">
                <a:solidFill>
                  <a:sysClr val="windowText" lastClr="000000"/>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rPr>
              <a:t>单位：万元</a:t>
            </a:r>
            <a:endParaRPr lang="zh-CN" altLang="en-US" sz="900">
              <a:solidFill>
                <a:sysClr val="windowText" lastClr="000000"/>
              </a:solidFill>
              <a:latin typeface="方正楷体_GBK" panose="03000509000000000000" pitchFamily="65" charset="-122"/>
              <a:ea typeface="方正楷体_GBK" panose="03000509000000000000" pitchFamily="65" charset="-122"/>
              <a:cs typeface="方正楷体简体" panose="02010601030101010101" charset="-122"/>
              <a:sym typeface="方正楷体简体" panose="02010601030101010101" charset="-122"/>
            </a:endParaRPr>
          </a:p>
        </c:rich>
      </c:tx>
      <c:layout>
        <c:manualLayout>
          <c:xMode val="edge"/>
          <c:yMode val="edge"/>
          <c:x val="0.788326857984255"/>
          <c:y val="0.0284230118389344"/>
        </c:manualLayout>
      </c:layout>
      <c:overlay val="0"/>
      <c:spPr>
        <a:noFill/>
        <a:ln>
          <a:noFill/>
        </a:ln>
        <a:effectLst/>
      </c:spPr>
    </c:title>
    <c:autoTitleDeleted val="0"/>
    <c:plotArea>
      <c:layout>
        <c:manualLayout>
          <c:layoutTarget val="inner"/>
          <c:xMode val="edge"/>
          <c:yMode val="edge"/>
          <c:x val="0.100608922579843"/>
          <c:y val="0.026661514683153"/>
          <c:w val="0.863352802286566"/>
          <c:h val="0.782921174652241"/>
        </c:manualLayout>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#,##0.00_ </c:formatCode>
                <c:ptCount val="2"/>
                <c:pt idx="0">
                  <c:v>6177.94</c:v>
                </c:pt>
                <c:pt idx="1">
                  <c:v>6396.73</c:v>
                </c:pt>
              </c:numCache>
            </c:numRef>
          </c:val>
        </c:ser>
        <c:dLbls>
          <c:showLegendKey val="0"/>
          <c:showVal val="1"/>
          <c:showCatName val="0"/>
          <c:showSerName val="0"/>
          <c:showPercent val="0"/>
          <c:showBubbleSize val="0"/>
        </c:dLbls>
        <c:gapWidth val="219"/>
        <c:overlap val="-27"/>
        <c:axId val="148747008"/>
        <c:axId val="148748544"/>
      </c:barChart>
      <c:catAx>
        <c:axId val="148747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48748544"/>
        <c:crosses val="autoZero"/>
        <c:auto val="1"/>
        <c:lblAlgn val="ctr"/>
        <c:lblOffset val="100"/>
        <c:noMultiLvlLbl val="0"/>
      </c:catAx>
      <c:valAx>
        <c:axId val="14874854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crossAx val="14874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25767544831049"/>
                  <c:y val="0.003105590062111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lang="zh-CN" altLang="en-US"/>
                      <a:t>一般公共服务
</a:t>
                    </a:r>
                    <a:r>
                      <a:rPr lang="en-US" altLang="zh-CN"/>
                      <a:t>2.73%</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0996555410381"/>
                      <c:h val="0.13698296836983"/>
                    </c:manualLayout>
                  </c15:layout>
                </c:ext>
              </c:extLst>
            </c:dLbl>
            <c:dLbl>
              <c:idx val="1"/>
              <c:layout>
                <c:manualLayout>
                  <c:x val="0.13874382298331"/>
                  <c:y val="0.103727787424154"/>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lang="zh-CN" altLang="en-US"/>
                      <a:t>教育支出
</a:t>
                    </a:r>
                    <a:r>
                      <a:rPr lang="en-US" altLang="zh-CN"/>
                      <a:t>1.91%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9111316153625"/>
                  <c:y val="-0.10232465460293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7903551490676"/>
                      <c:h val="0.154987834549878"/>
                    </c:manualLayout>
                  </c15:layout>
                </c:ext>
              </c:extLst>
            </c:dLbl>
            <c:dLbl>
              <c:idx val="3"/>
              <c:layout>
                <c:manualLayout>
                  <c:x val="-0.0764563474412941"/>
                  <c:y val="0.073223814515799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lang="zh-CN" altLang="en-US"/>
                      <a:t>卫生健康支出
</a:t>
                    </a:r>
                    <a:r>
                      <a:rPr lang="en-US" altLang="zh-CN"/>
                      <a:t>2.37%</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4754696580619"/>
                      <c:h val="0.135244922341697"/>
                    </c:manualLayout>
                  </c15:layout>
                </c:ext>
              </c:extLst>
            </c:dLbl>
            <c:dLbl>
              <c:idx val="4"/>
              <c:layout>
                <c:manualLayout>
                  <c:x val="-0.0814768548465956"/>
                  <c:y val="0"/>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r>
                      <a:rPr lang="zh-CN" altLang="en-US"/>
                      <a:t>住房保障支出
</a:t>
                    </a:r>
                    <a:r>
                      <a:rPr lang="en-US" altLang="zh-CN"/>
                      <a:t>5.79%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教育支出</c:v>
                </c:pt>
                <c:pt idx="2">
                  <c:v>社会保障和就业</c:v>
                </c:pt>
                <c:pt idx="3">
                  <c:v>卫生健康支出</c:v>
                </c:pt>
                <c:pt idx="4">
                  <c:v>住房保障支出</c:v>
                </c:pt>
              </c:strCache>
            </c:strRef>
          </c:cat>
          <c:val>
            <c:numRef>
              <c:f>Sheet1!$B$2:$B$6</c:f>
              <c:numCache>
                <c:formatCode>General</c:formatCode>
                <c:ptCount val="5"/>
                <c:pt idx="0">
                  <c:v>174.88</c:v>
                </c:pt>
                <c:pt idx="1">
                  <c:v>122.45</c:v>
                </c:pt>
                <c:pt idx="2">
                  <c:v>5577.46</c:v>
                </c:pt>
                <c:pt idx="3">
                  <c:v>151.72</c:v>
                </c:pt>
                <c:pt idx="4">
                  <c:v>370.42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egendEntry>
        <c:idx val="4"/>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方正楷体简体" panose="02010601030101010101" charset="-122"/>
          <a:ea typeface="方正楷体简体" panose="02010601030101010101" charset="-122"/>
          <a:cs typeface="方正楷体简体" panose="02010601030101010101" charset="-122"/>
          <a:sym typeface="方正楷体简体" panose="02010601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41038318912237"/>
                  <c:y val="-0.1281777397991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14118990556703"/>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23.91</c:v>
                </c:pt>
                <c:pt idx="1">
                  <c:v>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6039</Words>
  <Characters>6699</Characters>
  <Lines>61</Lines>
  <Paragraphs>17</Paragraphs>
  <TotalTime>91</TotalTime>
  <ScaleCrop>false</ScaleCrop>
  <LinksUpToDate>false</LinksUpToDate>
  <CharactersWithSpaces>6721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2023-08-17T08:48:00Z</cp:lastPrinted>
  <dcterms:modified xsi:type="dcterms:W3CDTF">2023-09-05T08:43:00Z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74470C3010B84147913424EC536BD1AB_12</vt:lpwstr>
  </property>
</Properties>
</file>