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E5E3D">
      <w:pPr>
        <w:adjustRightInd w:val="0"/>
        <w:snapToGrid w:val="0"/>
        <w:jc w:val="center"/>
        <w:outlineLvl w:val="0"/>
        <w:rPr>
          <w:rFonts w:eastAsia="方正小标宋简体"/>
          <w:sz w:val="72"/>
          <w:szCs w:val="72"/>
        </w:rPr>
      </w:pPr>
      <w:bookmarkStart w:id="0" w:name="_Toc15377425"/>
      <w:bookmarkStart w:id="1" w:name="_Toc15396475"/>
      <w:bookmarkStart w:id="2" w:name="_Toc15378441"/>
      <w:bookmarkStart w:id="3" w:name="_Toc15377193"/>
      <w:bookmarkStart w:id="4" w:name="_Toc15396597"/>
      <w:r>
        <w:rPr>
          <w:rFonts w:eastAsia="方正小标宋简体"/>
          <w:sz w:val="72"/>
          <w:szCs w:val="72"/>
        </w:rPr>
        <w:t>202</w:t>
      </w:r>
      <w:r>
        <w:rPr>
          <w:rFonts w:hint="eastAsia" w:eastAsia="方正小标宋简体"/>
          <w:sz w:val="72"/>
          <w:szCs w:val="72"/>
          <w:lang w:val="en-US" w:eastAsia="zh-CN"/>
        </w:rPr>
        <w:t>3</w:t>
      </w:r>
      <w:r>
        <w:rPr>
          <w:rFonts w:eastAsia="方正小标宋简体"/>
          <w:sz w:val="72"/>
          <w:szCs w:val="72"/>
        </w:rPr>
        <w:t>年度</w:t>
      </w:r>
      <w:bookmarkEnd w:id="0"/>
      <w:bookmarkEnd w:id="1"/>
      <w:bookmarkEnd w:id="2"/>
      <w:bookmarkEnd w:id="3"/>
      <w:bookmarkEnd w:id="4"/>
    </w:p>
    <w:p w14:paraId="74621755">
      <w:pPr>
        <w:adjustRightInd w:val="0"/>
        <w:snapToGrid w:val="0"/>
        <w:outlineLvl w:val="0"/>
        <w:rPr>
          <w:rFonts w:eastAsia="方正小标宋简体"/>
          <w:spacing w:val="-24"/>
          <w:w w:val="90"/>
          <w:sz w:val="72"/>
          <w:szCs w:val="72"/>
        </w:rPr>
      </w:pPr>
      <w:bookmarkStart w:id="5" w:name="_Toc15377426"/>
      <w:bookmarkStart w:id="6" w:name="_Toc15396476"/>
      <w:bookmarkStart w:id="7" w:name="_Toc15378442"/>
      <w:bookmarkStart w:id="8" w:name="_Toc15396598"/>
      <w:bookmarkStart w:id="9" w:name="_Toc15377194"/>
      <w:r>
        <w:rPr>
          <w:rFonts w:eastAsia="方正小标宋简体"/>
          <w:spacing w:val="-24"/>
          <w:sz w:val="72"/>
          <w:szCs w:val="72"/>
        </w:rPr>
        <w:t>四川省</w:t>
      </w:r>
      <w:bookmarkStart w:id="10" w:name="_Toc15306268"/>
      <w:r>
        <w:rPr>
          <w:rFonts w:eastAsia="方正小标宋简体"/>
          <w:spacing w:val="-24"/>
          <w:sz w:val="72"/>
          <w:szCs w:val="72"/>
        </w:rPr>
        <w:t>烈士纪念设施保护中心</w:t>
      </w:r>
      <w:r>
        <w:rPr>
          <w:rFonts w:eastAsia="方正小标宋简体"/>
          <w:spacing w:val="-28"/>
          <w:w w:val="90"/>
          <w:sz w:val="72"/>
          <w:szCs w:val="72"/>
        </w:rPr>
        <w:t>（四川省烈士遗骸搜寻鉴定中心）</w:t>
      </w:r>
    </w:p>
    <w:p w14:paraId="72261B86">
      <w:pPr>
        <w:adjustRightInd w:val="0"/>
        <w:snapToGrid w:val="0"/>
        <w:jc w:val="center"/>
        <w:outlineLvl w:val="0"/>
        <w:rPr>
          <w:rFonts w:eastAsia="方正小标宋简体"/>
          <w:sz w:val="72"/>
          <w:szCs w:val="72"/>
        </w:rPr>
      </w:pPr>
      <w:r>
        <w:rPr>
          <w:rFonts w:eastAsia="方正小标宋简体"/>
          <w:sz w:val="72"/>
          <w:szCs w:val="72"/>
        </w:rPr>
        <w:t>单位决算</w:t>
      </w:r>
      <w:bookmarkEnd w:id="5"/>
      <w:bookmarkEnd w:id="6"/>
      <w:bookmarkEnd w:id="7"/>
      <w:bookmarkEnd w:id="8"/>
      <w:bookmarkEnd w:id="9"/>
      <w:bookmarkEnd w:id="10"/>
    </w:p>
    <w:p w14:paraId="3AFAE96D">
      <w:pPr>
        <w:widowControl/>
        <w:jc w:val="center"/>
        <w:rPr>
          <w:rFonts w:eastAsia="黑体"/>
          <w:sz w:val="48"/>
          <w:szCs w:val="48"/>
        </w:rPr>
      </w:pPr>
      <w:r>
        <w:rPr>
          <w:rFonts w:eastAsia="方正小标宋简体"/>
          <w:sz w:val="36"/>
          <w:szCs w:val="36"/>
        </w:rPr>
        <w:br w:type="page"/>
      </w:r>
      <w:r>
        <w:rPr>
          <w:rFonts w:eastAsia="黑体"/>
          <w:sz w:val="48"/>
          <w:szCs w:val="48"/>
        </w:rPr>
        <w:t>目录</w:t>
      </w:r>
    </w:p>
    <w:p w14:paraId="46D9DD47">
      <w:pPr>
        <w:widowControl/>
        <w:jc w:val="center"/>
        <w:rPr>
          <w:rFonts w:eastAsia="黑体"/>
          <w:sz w:val="28"/>
          <w:szCs w:val="28"/>
        </w:rPr>
      </w:pPr>
    </w:p>
    <w:p w14:paraId="2F0ACF1A">
      <w:pPr>
        <w:pStyle w:val="7"/>
        <w:rPr>
          <w:rFonts w:ascii="Times New Roman" w:hAnsi="Times New Roman"/>
        </w:rPr>
      </w:pPr>
      <w:r>
        <w:rPr>
          <w:rFonts w:ascii="Times New Roman" w:hAnsi="Times New Roman"/>
        </w:rPr>
        <w:t>公开时间：202</w:t>
      </w:r>
      <w:r>
        <w:rPr>
          <w:rFonts w:hint="eastAsia" w:ascii="Times New Roman" w:hAnsi="Times New Roman"/>
          <w:lang w:val="en-US" w:eastAsia="zh-CN"/>
        </w:rPr>
        <w:t>4</w:t>
      </w:r>
      <w:r>
        <w:rPr>
          <w:rFonts w:ascii="Times New Roman" w:hAnsi="Times New Roman"/>
        </w:rPr>
        <w:t>年</w:t>
      </w:r>
      <w:r>
        <w:rPr>
          <w:rFonts w:hint="eastAsia" w:ascii="Times New Roman" w:hAnsi="Times New Roman"/>
          <w:lang w:val="en-US" w:eastAsia="zh-CN"/>
        </w:rPr>
        <w:t>9</w:t>
      </w:r>
      <w:r>
        <w:rPr>
          <w:rFonts w:ascii="Times New Roman" w:hAnsi="Times New Roman"/>
        </w:rPr>
        <w:t>月</w:t>
      </w:r>
      <w:r>
        <w:rPr>
          <w:rFonts w:hint="eastAsia" w:ascii="Times New Roman" w:hAnsi="Times New Roman"/>
          <w:lang w:val="en-US" w:eastAsia="zh-CN"/>
        </w:rPr>
        <w:t>13</w:t>
      </w:r>
      <w:r>
        <w:rPr>
          <w:rFonts w:ascii="Times New Roman" w:hAnsi="Times New Roman"/>
        </w:rPr>
        <w:t>日</w:t>
      </w:r>
    </w:p>
    <w:p w14:paraId="4CB7D7E9">
      <w:pPr>
        <w:rPr>
          <w:rFonts w:eastAsia="方正楷体简体"/>
          <w:sz w:val="24"/>
        </w:rPr>
      </w:pPr>
    </w:p>
    <w:p w14:paraId="3B3086F8">
      <w:pPr>
        <w:pStyle w:val="7"/>
        <w:tabs>
          <w:tab w:val="right" w:leader="dot" w:pos="7560"/>
        </w:tabs>
        <w:adjustRightInd w:val="0"/>
        <w:snapToGrid w:val="0"/>
        <w:spacing w:before="0" w:line="560" w:lineRule="exact"/>
        <w:jc w:val="left"/>
        <w:rPr>
          <w:rFonts w:hint="eastAsia" w:ascii="Times New Roman" w:hAnsi="Times New Roman" w:eastAsia="方正仿宋简体"/>
          <w:lang w:eastAsia="zh-CN"/>
        </w:rPr>
      </w:pPr>
      <w:bookmarkStart w:id="11" w:name="_Toc15396600"/>
      <w:bookmarkStart w:id="12" w:name="_Toc15377197"/>
      <w:r>
        <w:rPr>
          <w:rFonts w:ascii="Times New Roman" w:hAnsi="Times New Roman" w:eastAsia="方正仿宋简体"/>
        </w:rPr>
        <w:t>第一部分</w:t>
      </w:r>
      <w:r>
        <w:rPr>
          <w:rFonts w:hint="eastAsia" w:ascii="Times New Roman" w:hAnsi="Times New Roman" w:eastAsia="方正仿宋简体"/>
          <w:lang w:val="en-US" w:eastAsia="zh-CN"/>
        </w:rPr>
        <w:t xml:space="preserve"> </w:t>
      </w:r>
      <w:r>
        <w:rPr>
          <w:rFonts w:ascii="Times New Roman" w:hAnsi="Times New Roman" w:eastAsia="方正仿宋简体"/>
        </w:rPr>
        <w:t>单位概况</w:t>
      </w:r>
      <w:r>
        <w:rPr>
          <w:rFonts w:hint="eastAsia" w:ascii="Times New Roman" w:hAnsi="Times New Roman" w:eastAsia="方正仿宋简体"/>
        </w:rPr>
        <w:t>.........................................................................................</w:t>
      </w:r>
      <w:r>
        <w:rPr>
          <w:rFonts w:hint="eastAsia" w:ascii="Times New Roman" w:hAnsi="Times New Roman" w:eastAsia="方正仿宋简体"/>
          <w:lang w:val="en-US" w:eastAsia="zh-CN"/>
        </w:rPr>
        <w:t>4</w:t>
      </w:r>
    </w:p>
    <w:p w14:paraId="70C713AD">
      <w:pPr>
        <w:pStyle w:val="8"/>
        <w:tabs>
          <w:tab w:val="right" w:leader="hyphen" w:pos="7560"/>
        </w:tabs>
        <w:adjustRightInd w:val="0"/>
        <w:snapToGrid w:val="0"/>
        <w:spacing w:line="560" w:lineRule="exact"/>
        <w:jc w:val="left"/>
        <w:rPr>
          <w:rFonts w:hint="eastAsia" w:eastAsia="方正仿宋简体"/>
          <w:sz w:val="28"/>
          <w:szCs w:val="28"/>
          <w:lang w:eastAsia="zh-CN"/>
        </w:rPr>
      </w:pPr>
      <w:r>
        <w:rPr>
          <w:rFonts w:eastAsia="方正仿宋简体"/>
          <w:sz w:val="28"/>
          <w:szCs w:val="28"/>
        </w:rPr>
        <w:t>一、主要职责</w:t>
      </w:r>
      <w:r>
        <w:rPr>
          <w:rFonts w:hint="eastAsia" w:eastAsia="方正仿宋简体"/>
          <w:sz w:val="28"/>
          <w:szCs w:val="28"/>
        </w:rPr>
        <w:t>.............................................................................................</w:t>
      </w:r>
      <w:r>
        <w:rPr>
          <w:rFonts w:hint="eastAsia" w:eastAsia="方正仿宋简体"/>
          <w:sz w:val="28"/>
          <w:szCs w:val="28"/>
          <w:lang w:val="en-US" w:eastAsia="zh-CN"/>
        </w:rPr>
        <w:t>4</w:t>
      </w:r>
    </w:p>
    <w:p w14:paraId="1AADE3CD">
      <w:pPr>
        <w:pStyle w:val="8"/>
        <w:tabs>
          <w:tab w:val="right" w:leader="hyphen" w:pos="7560"/>
        </w:tabs>
        <w:adjustRightInd w:val="0"/>
        <w:snapToGrid w:val="0"/>
        <w:spacing w:line="560" w:lineRule="exact"/>
        <w:jc w:val="left"/>
        <w:rPr>
          <w:rFonts w:hint="eastAsia" w:eastAsia="方正仿宋简体"/>
          <w:sz w:val="28"/>
          <w:szCs w:val="28"/>
          <w:lang w:val="en-US" w:eastAsia="zh-CN"/>
        </w:rPr>
      </w:pPr>
      <w:r>
        <w:rPr>
          <w:rFonts w:eastAsia="方正仿宋简体"/>
          <w:sz w:val="28"/>
          <w:szCs w:val="28"/>
        </w:rPr>
        <w:t>二、机构设置</w:t>
      </w:r>
      <w:r>
        <w:rPr>
          <w:rFonts w:hint="eastAsia" w:eastAsia="方正仿宋简体"/>
          <w:sz w:val="28"/>
          <w:szCs w:val="28"/>
        </w:rPr>
        <w:t>.............................................................................................</w:t>
      </w:r>
      <w:r>
        <w:rPr>
          <w:rFonts w:hint="eastAsia" w:eastAsia="方正仿宋简体"/>
          <w:sz w:val="28"/>
          <w:szCs w:val="28"/>
          <w:lang w:val="en-US" w:eastAsia="zh-CN"/>
        </w:rPr>
        <w:t>4</w:t>
      </w:r>
    </w:p>
    <w:p w14:paraId="696E4174">
      <w:pPr>
        <w:pStyle w:val="7"/>
        <w:tabs>
          <w:tab w:val="right" w:leader="hyphen" w:pos="7560"/>
        </w:tabs>
        <w:adjustRightInd w:val="0"/>
        <w:snapToGrid w:val="0"/>
        <w:spacing w:before="0" w:line="560" w:lineRule="exact"/>
        <w:jc w:val="left"/>
        <w:rPr>
          <w:rFonts w:hint="eastAsia" w:ascii="Times New Roman" w:hAnsi="Times New Roman" w:eastAsia="方正仿宋简体"/>
          <w:lang w:val="en-US" w:eastAsia="zh-CN"/>
        </w:rPr>
      </w:pPr>
      <w:r>
        <w:rPr>
          <w:rFonts w:ascii="Times New Roman" w:hAnsi="Times New Roman" w:eastAsia="方正仿宋简体"/>
        </w:rPr>
        <w:t>第二部分 202</w:t>
      </w:r>
      <w:r>
        <w:rPr>
          <w:rFonts w:hint="eastAsia" w:ascii="Times New Roman" w:hAnsi="Times New Roman" w:eastAsia="方正仿宋简体"/>
          <w:lang w:val="en-US" w:eastAsia="zh-CN"/>
        </w:rPr>
        <w:t>3</w:t>
      </w:r>
      <w:r>
        <w:rPr>
          <w:rFonts w:ascii="Times New Roman" w:hAnsi="Times New Roman" w:eastAsia="方正仿宋简体"/>
        </w:rPr>
        <w:t>年度单位决算情况说明</w:t>
      </w:r>
      <w:r>
        <w:rPr>
          <w:rFonts w:hint="eastAsia" w:ascii="Times New Roman" w:hAnsi="Times New Roman" w:eastAsia="方正仿宋简体"/>
        </w:rPr>
        <w:t>........................................................</w:t>
      </w:r>
      <w:r>
        <w:rPr>
          <w:rFonts w:hint="eastAsia" w:ascii="Times New Roman" w:hAnsi="Times New Roman" w:eastAsia="方正仿宋简体"/>
          <w:lang w:val="en-US" w:eastAsia="zh-CN"/>
        </w:rPr>
        <w:t>5</w:t>
      </w:r>
    </w:p>
    <w:p w14:paraId="2396DF86">
      <w:pPr>
        <w:pStyle w:val="8"/>
        <w:tabs>
          <w:tab w:val="right" w:leader="dot" w:pos="7560"/>
        </w:tabs>
        <w:adjustRightInd w:val="0"/>
        <w:snapToGrid w:val="0"/>
        <w:spacing w:line="560" w:lineRule="exact"/>
        <w:jc w:val="left"/>
        <w:rPr>
          <w:rFonts w:hint="eastAsia" w:eastAsia="方正仿宋简体"/>
          <w:sz w:val="28"/>
          <w:szCs w:val="28"/>
          <w:lang w:val="en-US" w:eastAsia="zh-CN"/>
        </w:rPr>
      </w:pPr>
      <w:r>
        <w:rPr>
          <w:rFonts w:eastAsia="方正仿宋简体"/>
          <w:sz w:val="28"/>
          <w:szCs w:val="28"/>
        </w:rPr>
        <w:t>一、收入支出决算总体情况说明</w:t>
      </w:r>
      <w:r>
        <w:rPr>
          <w:rFonts w:hint="eastAsia" w:eastAsia="方正仿宋简体"/>
          <w:sz w:val="28"/>
          <w:szCs w:val="28"/>
        </w:rPr>
        <w:t>.............................................................</w:t>
      </w:r>
      <w:r>
        <w:rPr>
          <w:rFonts w:hint="eastAsia" w:eastAsia="方正仿宋简体"/>
          <w:sz w:val="28"/>
          <w:szCs w:val="28"/>
          <w:lang w:val="en-US" w:eastAsia="zh-CN"/>
        </w:rPr>
        <w:t>5</w:t>
      </w:r>
    </w:p>
    <w:p w14:paraId="6E09CB27">
      <w:pPr>
        <w:pStyle w:val="8"/>
        <w:tabs>
          <w:tab w:val="right" w:leader="dot" w:pos="7560"/>
        </w:tabs>
        <w:adjustRightInd w:val="0"/>
        <w:snapToGrid w:val="0"/>
        <w:spacing w:line="560" w:lineRule="exact"/>
        <w:jc w:val="left"/>
        <w:rPr>
          <w:rFonts w:hint="eastAsia" w:eastAsia="方正仿宋简体"/>
          <w:sz w:val="28"/>
          <w:szCs w:val="28"/>
          <w:lang w:val="en-US" w:eastAsia="zh-CN"/>
        </w:rPr>
      </w:pPr>
      <w:r>
        <w:rPr>
          <w:rFonts w:eastAsia="方正仿宋简体"/>
          <w:sz w:val="28"/>
          <w:szCs w:val="28"/>
        </w:rPr>
        <w:t>二、收入决算情况说明</w:t>
      </w:r>
      <w:r>
        <w:rPr>
          <w:rFonts w:hint="eastAsia" w:eastAsia="方正仿宋简体"/>
          <w:sz w:val="28"/>
          <w:szCs w:val="28"/>
        </w:rPr>
        <w:t>.............................................................................</w:t>
      </w:r>
      <w:r>
        <w:rPr>
          <w:rFonts w:hint="eastAsia" w:eastAsia="方正仿宋简体"/>
          <w:sz w:val="28"/>
          <w:szCs w:val="28"/>
          <w:lang w:val="en-US" w:eastAsia="zh-CN"/>
        </w:rPr>
        <w:t>5</w:t>
      </w:r>
    </w:p>
    <w:p w14:paraId="08C38F35">
      <w:pPr>
        <w:pStyle w:val="8"/>
        <w:tabs>
          <w:tab w:val="right" w:leader="dot" w:pos="7560"/>
        </w:tabs>
        <w:adjustRightInd w:val="0"/>
        <w:snapToGrid w:val="0"/>
        <w:spacing w:line="560" w:lineRule="exact"/>
        <w:jc w:val="left"/>
        <w:rPr>
          <w:rFonts w:hint="eastAsia" w:eastAsia="方正仿宋简体"/>
          <w:sz w:val="28"/>
          <w:szCs w:val="28"/>
          <w:lang w:val="en-US" w:eastAsia="zh-CN"/>
        </w:rPr>
      </w:pPr>
      <w:r>
        <w:rPr>
          <w:rFonts w:eastAsia="方正仿宋简体"/>
          <w:sz w:val="28"/>
          <w:szCs w:val="28"/>
        </w:rPr>
        <w:t>三、支出决算情况说明</w:t>
      </w:r>
      <w:r>
        <w:rPr>
          <w:rFonts w:hint="eastAsia" w:eastAsia="方正仿宋简体"/>
          <w:sz w:val="28"/>
          <w:szCs w:val="28"/>
        </w:rPr>
        <w:t>.............................................................................</w:t>
      </w:r>
      <w:r>
        <w:rPr>
          <w:rFonts w:hint="eastAsia" w:eastAsia="方正仿宋简体"/>
          <w:sz w:val="28"/>
          <w:szCs w:val="28"/>
          <w:lang w:val="en-US" w:eastAsia="zh-CN"/>
        </w:rPr>
        <w:t>6</w:t>
      </w:r>
    </w:p>
    <w:p w14:paraId="5159976E">
      <w:pPr>
        <w:pStyle w:val="8"/>
        <w:tabs>
          <w:tab w:val="right" w:leader="dot" w:pos="7560"/>
        </w:tabs>
        <w:adjustRightInd w:val="0"/>
        <w:snapToGrid w:val="0"/>
        <w:spacing w:line="560" w:lineRule="exact"/>
        <w:jc w:val="left"/>
        <w:rPr>
          <w:rFonts w:hint="eastAsia" w:eastAsia="方正仿宋简体"/>
          <w:sz w:val="28"/>
          <w:szCs w:val="28"/>
          <w:lang w:val="en-US" w:eastAsia="zh-CN"/>
        </w:rPr>
      </w:pPr>
      <w:r>
        <w:rPr>
          <w:rFonts w:eastAsia="方正仿宋简体"/>
          <w:sz w:val="28"/>
          <w:szCs w:val="28"/>
        </w:rPr>
        <w:t>四、财政拨款收入支出决算总体情况说明</w:t>
      </w:r>
      <w:r>
        <w:rPr>
          <w:rFonts w:hint="eastAsia" w:eastAsia="方正仿宋简体"/>
          <w:sz w:val="28"/>
          <w:szCs w:val="28"/>
        </w:rPr>
        <w:t>.............................................</w:t>
      </w:r>
      <w:r>
        <w:rPr>
          <w:rFonts w:hint="eastAsia" w:eastAsia="方正仿宋简体"/>
          <w:sz w:val="28"/>
          <w:szCs w:val="28"/>
          <w:lang w:val="en-US" w:eastAsia="zh-CN"/>
        </w:rPr>
        <w:t>6</w:t>
      </w:r>
    </w:p>
    <w:p w14:paraId="7513331F">
      <w:pPr>
        <w:pStyle w:val="8"/>
        <w:tabs>
          <w:tab w:val="right" w:leader="dot" w:pos="7560"/>
        </w:tabs>
        <w:adjustRightInd w:val="0"/>
        <w:snapToGrid w:val="0"/>
        <w:spacing w:line="560" w:lineRule="exact"/>
        <w:jc w:val="left"/>
        <w:rPr>
          <w:rFonts w:hint="eastAsia" w:eastAsia="方正仿宋简体"/>
          <w:sz w:val="28"/>
          <w:szCs w:val="28"/>
          <w:lang w:val="en-US" w:eastAsia="zh-CN"/>
        </w:rPr>
      </w:pPr>
      <w:r>
        <w:rPr>
          <w:rFonts w:eastAsia="方正仿宋简体"/>
          <w:sz w:val="28"/>
          <w:szCs w:val="28"/>
        </w:rPr>
        <w:t>五、一般公共预算财政拨款支出决算情况说明</w:t>
      </w:r>
      <w:r>
        <w:rPr>
          <w:rFonts w:hint="eastAsia" w:eastAsia="方正仿宋简体"/>
          <w:sz w:val="28"/>
          <w:szCs w:val="28"/>
        </w:rPr>
        <w:t>.....................................</w:t>
      </w:r>
      <w:r>
        <w:rPr>
          <w:rFonts w:hint="eastAsia" w:eastAsia="方正仿宋简体"/>
          <w:sz w:val="28"/>
          <w:szCs w:val="28"/>
          <w:lang w:val="en-US" w:eastAsia="zh-CN"/>
        </w:rPr>
        <w:t>7</w:t>
      </w:r>
    </w:p>
    <w:p w14:paraId="7C9D1622">
      <w:pPr>
        <w:pStyle w:val="8"/>
        <w:tabs>
          <w:tab w:val="right" w:leader="dot" w:pos="7560"/>
        </w:tabs>
        <w:adjustRightInd w:val="0"/>
        <w:snapToGrid w:val="0"/>
        <w:spacing w:line="560" w:lineRule="exact"/>
        <w:jc w:val="left"/>
        <w:rPr>
          <w:rFonts w:hint="eastAsia" w:eastAsia="方正仿宋简体"/>
          <w:sz w:val="28"/>
          <w:szCs w:val="28"/>
          <w:lang w:val="en-US" w:eastAsia="zh-CN"/>
        </w:rPr>
      </w:pPr>
      <w:r>
        <w:rPr>
          <w:rFonts w:eastAsia="方正仿宋简体"/>
          <w:sz w:val="28"/>
          <w:szCs w:val="28"/>
        </w:rPr>
        <w:t>六、一般公共预算财政拨款基本支出决算情况说明</w:t>
      </w:r>
      <w:r>
        <w:rPr>
          <w:rFonts w:eastAsia="方正仿宋简体"/>
          <w:sz w:val="28"/>
          <w:szCs w:val="28"/>
        </w:rPr>
        <w:tab/>
      </w:r>
      <w:r>
        <w:rPr>
          <w:rFonts w:hint="eastAsia" w:eastAsia="方正仿宋简体"/>
          <w:sz w:val="28"/>
          <w:szCs w:val="28"/>
        </w:rPr>
        <w:t>............................</w:t>
      </w:r>
      <w:r>
        <w:rPr>
          <w:rFonts w:eastAsia="方正仿宋简体"/>
          <w:sz w:val="28"/>
          <w:szCs w:val="28"/>
        </w:rPr>
        <w:t>1</w:t>
      </w:r>
      <w:r>
        <w:rPr>
          <w:rFonts w:hint="eastAsia" w:eastAsia="方正仿宋简体"/>
          <w:sz w:val="28"/>
          <w:szCs w:val="28"/>
          <w:lang w:val="en-US" w:eastAsia="zh-CN"/>
        </w:rPr>
        <w:t>0</w:t>
      </w:r>
    </w:p>
    <w:p w14:paraId="31670984">
      <w:pPr>
        <w:pStyle w:val="8"/>
        <w:tabs>
          <w:tab w:val="right" w:leader="dot" w:pos="7560"/>
        </w:tabs>
        <w:adjustRightInd w:val="0"/>
        <w:snapToGrid w:val="0"/>
        <w:spacing w:line="560" w:lineRule="exact"/>
        <w:jc w:val="left"/>
        <w:rPr>
          <w:rFonts w:hint="eastAsia" w:eastAsia="方正仿宋简体"/>
          <w:sz w:val="28"/>
          <w:szCs w:val="28"/>
          <w:lang w:val="en-US" w:eastAsia="zh-CN"/>
        </w:rPr>
      </w:pPr>
      <w:r>
        <w:rPr>
          <w:rFonts w:eastAsia="方正仿宋简体"/>
          <w:sz w:val="28"/>
          <w:szCs w:val="28"/>
        </w:rPr>
        <w:t>七、财政拨款“三公”经费支出决算情况说明</w:t>
      </w:r>
      <w:r>
        <w:rPr>
          <w:rFonts w:eastAsia="方正仿宋简体"/>
          <w:sz w:val="28"/>
          <w:szCs w:val="28"/>
        </w:rPr>
        <w:tab/>
      </w:r>
      <w:r>
        <w:rPr>
          <w:rFonts w:hint="eastAsia" w:eastAsia="方正仿宋简体"/>
          <w:sz w:val="28"/>
          <w:szCs w:val="28"/>
        </w:rPr>
        <w:t>........................................</w:t>
      </w:r>
      <w:r>
        <w:rPr>
          <w:rFonts w:eastAsia="方正仿宋简体"/>
          <w:sz w:val="28"/>
          <w:szCs w:val="28"/>
        </w:rPr>
        <w:t>1</w:t>
      </w:r>
      <w:r>
        <w:rPr>
          <w:rFonts w:hint="eastAsia" w:eastAsia="方正仿宋简体"/>
          <w:sz w:val="28"/>
          <w:szCs w:val="28"/>
          <w:lang w:val="en-US" w:eastAsia="zh-CN"/>
        </w:rPr>
        <w:t>0</w:t>
      </w:r>
    </w:p>
    <w:p w14:paraId="58E4EDD6">
      <w:pPr>
        <w:pStyle w:val="8"/>
        <w:tabs>
          <w:tab w:val="right" w:leader="dot" w:pos="7560"/>
        </w:tabs>
        <w:adjustRightInd w:val="0"/>
        <w:snapToGrid w:val="0"/>
        <w:spacing w:line="560" w:lineRule="exact"/>
        <w:jc w:val="left"/>
        <w:rPr>
          <w:rFonts w:hint="eastAsia" w:eastAsia="方正仿宋简体"/>
          <w:sz w:val="28"/>
          <w:szCs w:val="28"/>
          <w:lang w:val="en-US" w:eastAsia="zh-CN"/>
        </w:rPr>
      </w:pPr>
      <w:r>
        <w:rPr>
          <w:rFonts w:eastAsia="方正仿宋简体"/>
          <w:sz w:val="28"/>
          <w:szCs w:val="28"/>
        </w:rPr>
        <w:t>八、政府性基金预算支出决算情况说明</w:t>
      </w:r>
      <w:r>
        <w:rPr>
          <w:rFonts w:eastAsia="方正仿宋简体"/>
          <w:sz w:val="28"/>
          <w:szCs w:val="28"/>
        </w:rPr>
        <w:tab/>
      </w:r>
      <w:r>
        <w:rPr>
          <w:rFonts w:hint="eastAsia" w:eastAsia="方正仿宋简体"/>
          <w:sz w:val="28"/>
          <w:szCs w:val="28"/>
        </w:rPr>
        <w:t>................................................</w:t>
      </w:r>
      <w:r>
        <w:rPr>
          <w:rFonts w:eastAsia="方正仿宋简体"/>
          <w:sz w:val="28"/>
          <w:szCs w:val="28"/>
        </w:rPr>
        <w:t>1</w:t>
      </w:r>
      <w:r>
        <w:rPr>
          <w:rFonts w:hint="eastAsia" w:eastAsia="方正仿宋简体"/>
          <w:sz w:val="28"/>
          <w:szCs w:val="28"/>
          <w:lang w:val="en-US" w:eastAsia="zh-CN"/>
        </w:rPr>
        <w:t>2</w:t>
      </w:r>
    </w:p>
    <w:p w14:paraId="6184FF42">
      <w:pPr>
        <w:pStyle w:val="8"/>
        <w:tabs>
          <w:tab w:val="right" w:leader="dot" w:pos="7560"/>
        </w:tabs>
        <w:adjustRightInd w:val="0"/>
        <w:snapToGrid w:val="0"/>
        <w:spacing w:line="560" w:lineRule="exact"/>
        <w:jc w:val="left"/>
        <w:rPr>
          <w:rFonts w:hint="eastAsia" w:eastAsia="方正仿宋简体"/>
          <w:sz w:val="28"/>
          <w:szCs w:val="28"/>
          <w:lang w:val="en-US" w:eastAsia="zh-CN"/>
        </w:rPr>
      </w:pPr>
      <w:r>
        <w:rPr>
          <w:rFonts w:eastAsia="方正仿宋简体"/>
          <w:sz w:val="28"/>
          <w:szCs w:val="28"/>
        </w:rPr>
        <w:t>九、国有资本经营预算支出决算情况说明</w:t>
      </w:r>
      <w:r>
        <w:rPr>
          <w:rFonts w:hint="eastAsia" w:eastAsia="方正仿宋简体"/>
          <w:sz w:val="28"/>
          <w:szCs w:val="28"/>
        </w:rPr>
        <w:t>............................................</w:t>
      </w:r>
      <w:r>
        <w:rPr>
          <w:rFonts w:eastAsia="方正仿宋简体"/>
          <w:sz w:val="28"/>
          <w:szCs w:val="28"/>
        </w:rPr>
        <w:t>1</w:t>
      </w:r>
      <w:r>
        <w:rPr>
          <w:rFonts w:hint="eastAsia" w:eastAsia="方正仿宋简体"/>
          <w:sz w:val="28"/>
          <w:szCs w:val="28"/>
          <w:lang w:val="en-US" w:eastAsia="zh-CN"/>
        </w:rPr>
        <w:t>2</w:t>
      </w:r>
    </w:p>
    <w:p w14:paraId="13D7EBE9">
      <w:pPr>
        <w:pStyle w:val="8"/>
        <w:tabs>
          <w:tab w:val="right" w:leader="dot" w:pos="7560"/>
        </w:tabs>
        <w:adjustRightInd w:val="0"/>
        <w:snapToGrid w:val="0"/>
        <w:spacing w:line="560" w:lineRule="exact"/>
        <w:jc w:val="left"/>
        <w:rPr>
          <w:rFonts w:hint="eastAsia" w:eastAsia="宋体"/>
          <w:sz w:val="28"/>
          <w:szCs w:val="28"/>
          <w:lang w:val="en-US" w:eastAsia="zh-CN"/>
        </w:rPr>
      </w:pPr>
      <w:r>
        <w:rPr>
          <w:rFonts w:hint="eastAsia" w:ascii="方正仿宋简体" w:hAnsi="方正仿宋简体" w:eastAsia="方正仿宋简体" w:cs="方正仿宋简体"/>
          <w:sz w:val="28"/>
          <w:szCs w:val="28"/>
        </w:rPr>
        <w:t>十、其他重要事项的情况说明</w:t>
      </w:r>
      <w:r>
        <w:rPr>
          <w:sz w:val="28"/>
          <w:szCs w:val="28"/>
        </w:rPr>
        <w:tab/>
      </w:r>
      <w:r>
        <w:rPr>
          <w:rFonts w:hint="eastAsia"/>
          <w:sz w:val="28"/>
          <w:szCs w:val="28"/>
        </w:rPr>
        <w:t>................................................................</w:t>
      </w:r>
      <w:r>
        <w:rPr>
          <w:sz w:val="28"/>
          <w:szCs w:val="28"/>
        </w:rPr>
        <w:t>1</w:t>
      </w:r>
      <w:r>
        <w:rPr>
          <w:rFonts w:hint="eastAsia"/>
          <w:sz w:val="28"/>
          <w:szCs w:val="28"/>
          <w:lang w:val="en-US" w:eastAsia="zh-CN"/>
        </w:rPr>
        <w:t>2</w:t>
      </w:r>
    </w:p>
    <w:p w14:paraId="5A4AC8A0">
      <w:pPr>
        <w:pStyle w:val="7"/>
        <w:tabs>
          <w:tab w:val="right" w:leader="dot" w:pos="7560"/>
        </w:tabs>
        <w:adjustRightInd w:val="0"/>
        <w:snapToGrid w:val="0"/>
        <w:spacing w:before="0" w:line="560" w:lineRule="exact"/>
        <w:jc w:val="left"/>
        <w:rPr>
          <w:rFonts w:hint="eastAsia" w:ascii="Times New Roman" w:hAnsi="Times New Roman" w:eastAsia="仿宋"/>
          <w:lang w:val="en-US" w:eastAsia="zh-CN"/>
        </w:rPr>
      </w:pPr>
      <w:r>
        <w:rPr>
          <w:rFonts w:ascii="Times New Roman" w:hAnsi="Times New Roman" w:eastAsia="方正仿宋简体"/>
        </w:rPr>
        <w:t>第三部分</w:t>
      </w:r>
      <w:r>
        <w:rPr>
          <w:rFonts w:hint="eastAsia" w:ascii="Times New Roman" w:hAnsi="Times New Roman" w:eastAsia="方正仿宋简体"/>
          <w:lang w:val="en-US" w:eastAsia="zh-CN"/>
        </w:rPr>
        <w:t xml:space="preserve"> </w:t>
      </w:r>
      <w:r>
        <w:rPr>
          <w:rFonts w:ascii="Times New Roman" w:hAnsi="Times New Roman" w:eastAsia="方正仿宋简体"/>
        </w:rPr>
        <w:t>名词解释</w:t>
      </w:r>
      <w:r>
        <w:rPr>
          <w:rFonts w:ascii="Times New Roman" w:hAnsi="Times New Roman" w:eastAsia="方正仿宋简体"/>
        </w:rPr>
        <w:tab/>
      </w:r>
      <w:r>
        <w:rPr>
          <w:rFonts w:hint="eastAsia" w:ascii="Times New Roman" w:hAnsi="Times New Roman" w:eastAsia="方正仿宋简体"/>
        </w:rPr>
        <w:t>........................................................................................</w:t>
      </w:r>
      <w:r>
        <w:rPr>
          <w:rFonts w:ascii="Times New Roman" w:hAnsi="Times New Roman"/>
        </w:rPr>
        <w:t>1</w:t>
      </w:r>
      <w:r>
        <w:rPr>
          <w:rFonts w:hint="eastAsia" w:ascii="Times New Roman" w:hAnsi="Times New Roman"/>
          <w:lang w:val="en-US" w:eastAsia="zh-CN"/>
        </w:rPr>
        <w:t>4</w:t>
      </w:r>
    </w:p>
    <w:p w14:paraId="01FF7C1E">
      <w:pPr>
        <w:pStyle w:val="7"/>
        <w:tabs>
          <w:tab w:val="right" w:leader="dot" w:pos="7560"/>
        </w:tabs>
        <w:adjustRightInd w:val="0"/>
        <w:snapToGrid w:val="0"/>
        <w:spacing w:before="0" w:line="560" w:lineRule="exact"/>
        <w:jc w:val="left"/>
        <w:rPr>
          <w:rFonts w:hint="eastAsia" w:ascii="Times New Roman" w:hAnsi="Times New Roman" w:eastAsia="仿宋"/>
          <w:lang w:val="en-US" w:eastAsia="zh-CN"/>
        </w:rPr>
      </w:pPr>
      <w:r>
        <w:rPr>
          <w:rFonts w:ascii="Times New Roman" w:hAnsi="Times New Roman"/>
        </w:rPr>
        <w:t>第四部分</w:t>
      </w:r>
      <w:r>
        <w:rPr>
          <w:rFonts w:hint="eastAsia" w:ascii="Times New Roman" w:hAnsi="Times New Roman"/>
          <w:lang w:val="en-US" w:eastAsia="zh-CN"/>
        </w:rPr>
        <w:t xml:space="preserve"> </w:t>
      </w:r>
      <w:r>
        <w:rPr>
          <w:rFonts w:ascii="Times New Roman" w:hAnsi="Times New Roman"/>
        </w:rPr>
        <w:t>附件</w:t>
      </w:r>
      <w:r>
        <w:rPr>
          <w:rFonts w:hint="eastAsia" w:ascii="Times New Roman" w:hAnsi="Times New Roman"/>
        </w:rPr>
        <w:t>................................................................................................</w:t>
      </w:r>
      <w:r>
        <w:rPr>
          <w:rFonts w:ascii="Times New Roman" w:hAnsi="Times New Roman"/>
        </w:rPr>
        <w:t>1</w:t>
      </w:r>
      <w:r>
        <w:rPr>
          <w:rFonts w:hint="eastAsia" w:ascii="Times New Roman" w:hAnsi="Times New Roman"/>
          <w:lang w:val="en-US" w:eastAsia="zh-CN"/>
        </w:rPr>
        <w:t>6</w:t>
      </w:r>
    </w:p>
    <w:p w14:paraId="58B2C303">
      <w:pPr>
        <w:pStyle w:val="7"/>
        <w:tabs>
          <w:tab w:val="right" w:leader="dot" w:pos="7560"/>
        </w:tabs>
        <w:adjustRightInd w:val="0"/>
        <w:snapToGrid w:val="0"/>
        <w:spacing w:before="0" w:line="560" w:lineRule="exact"/>
        <w:jc w:val="left"/>
        <w:rPr>
          <w:rFonts w:hint="eastAsia" w:ascii="Times New Roman" w:hAnsi="Times New Roman" w:eastAsia="仿宋"/>
          <w:lang w:val="en-US" w:eastAsia="zh-CN"/>
        </w:rPr>
      </w:pPr>
      <w:r>
        <w:rPr>
          <w:rFonts w:ascii="Times New Roman" w:hAnsi="Times New Roman"/>
        </w:rPr>
        <w:t>第五部分</w:t>
      </w:r>
      <w:r>
        <w:rPr>
          <w:rFonts w:hint="eastAsia" w:ascii="Times New Roman" w:hAnsi="Times New Roman"/>
          <w:lang w:val="en-US" w:eastAsia="zh-CN"/>
        </w:rPr>
        <w:t xml:space="preserve"> </w:t>
      </w:r>
      <w:r>
        <w:rPr>
          <w:rFonts w:ascii="Times New Roman" w:hAnsi="Times New Roman"/>
        </w:rPr>
        <w:t>附表</w:t>
      </w:r>
      <w:r>
        <w:rPr>
          <w:rFonts w:hint="eastAsia" w:ascii="Times New Roman" w:hAnsi="Times New Roman"/>
        </w:rPr>
        <w:t>................................................................................................</w:t>
      </w:r>
      <w:r>
        <w:rPr>
          <w:rFonts w:ascii="Times New Roman" w:hAnsi="Times New Roman"/>
        </w:rPr>
        <w:t>1</w:t>
      </w:r>
      <w:r>
        <w:rPr>
          <w:rFonts w:hint="eastAsia" w:ascii="Times New Roman" w:hAnsi="Times New Roman"/>
          <w:lang w:val="en-US" w:eastAsia="zh-CN"/>
        </w:rPr>
        <w:t>7</w:t>
      </w:r>
    </w:p>
    <w:p w14:paraId="0743E565">
      <w:pPr>
        <w:pStyle w:val="8"/>
        <w:tabs>
          <w:tab w:val="right" w:pos="7560"/>
        </w:tabs>
        <w:adjustRightInd w:val="0"/>
        <w:snapToGrid w:val="0"/>
        <w:spacing w:line="560" w:lineRule="exact"/>
        <w:jc w:val="left"/>
        <w:rPr>
          <w:rFonts w:hint="eastAsia" w:ascii="方正仿宋简体" w:hAnsi="方正仿宋简体" w:eastAsia="仿宋" w:cs="方正仿宋简体"/>
          <w:sz w:val="28"/>
          <w:szCs w:val="28"/>
          <w:lang w:val="en-US" w:eastAsia="zh-CN"/>
        </w:rPr>
      </w:pPr>
      <w:r>
        <w:rPr>
          <w:rFonts w:hint="eastAsia" w:ascii="方正仿宋简体" w:hAnsi="方正仿宋简体" w:eastAsia="方正仿宋简体" w:cs="方正仿宋简体"/>
          <w:sz w:val="28"/>
          <w:szCs w:val="28"/>
        </w:rPr>
        <w:t>一、收入支出决算总表................................................................</w:t>
      </w:r>
      <w:r>
        <w:rPr>
          <w:rFonts w:hint="eastAsia" w:eastAsia="仿宋"/>
          <w:sz w:val="28"/>
          <w:szCs w:val="28"/>
        </w:rPr>
        <w:t>1</w:t>
      </w:r>
      <w:r>
        <w:rPr>
          <w:rFonts w:hint="eastAsia" w:eastAsia="仿宋"/>
          <w:sz w:val="28"/>
          <w:szCs w:val="28"/>
          <w:lang w:val="en-US" w:eastAsia="zh-CN"/>
        </w:rPr>
        <w:t>7</w:t>
      </w:r>
    </w:p>
    <w:p w14:paraId="403156D5">
      <w:pPr>
        <w:pStyle w:val="8"/>
        <w:tabs>
          <w:tab w:val="right" w:pos="7560"/>
        </w:tabs>
        <w:adjustRightInd w:val="0"/>
        <w:snapToGrid w:val="0"/>
        <w:spacing w:line="560" w:lineRule="exact"/>
        <w:rPr>
          <w:rFonts w:hint="eastAsia" w:ascii="方正仿宋简体" w:hAnsi="方正仿宋简体" w:eastAsia="仿宋" w:cs="方正仿宋简体"/>
          <w:sz w:val="28"/>
          <w:szCs w:val="28"/>
          <w:lang w:val="en-US" w:eastAsia="zh-CN"/>
        </w:rPr>
      </w:pPr>
      <w:r>
        <w:rPr>
          <w:rFonts w:hint="eastAsia" w:ascii="方正仿宋简体" w:hAnsi="方正仿宋简体" w:eastAsia="方正仿宋简体" w:cs="方正仿宋简体"/>
          <w:sz w:val="28"/>
          <w:szCs w:val="28"/>
        </w:rPr>
        <w:t>二、收入决算表..........................................................................</w:t>
      </w:r>
      <w:r>
        <w:rPr>
          <w:rFonts w:hint="eastAsia" w:eastAsia="仿宋"/>
          <w:sz w:val="28"/>
          <w:szCs w:val="28"/>
        </w:rPr>
        <w:t>1</w:t>
      </w:r>
      <w:r>
        <w:rPr>
          <w:rFonts w:hint="eastAsia" w:eastAsia="仿宋"/>
          <w:sz w:val="28"/>
          <w:szCs w:val="28"/>
          <w:lang w:val="en-US" w:eastAsia="zh-CN"/>
        </w:rPr>
        <w:t>7</w:t>
      </w:r>
    </w:p>
    <w:p w14:paraId="3FDD0B63">
      <w:pPr>
        <w:pStyle w:val="8"/>
        <w:tabs>
          <w:tab w:val="right" w:pos="7560"/>
        </w:tabs>
        <w:adjustRightInd w:val="0"/>
        <w:snapToGrid w:val="0"/>
        <w:spacing w:line="560" w:lineRule="exact"/>
        <w:rPr>
          <w:rFonts w:hint="eastAsia" w:ascii="方正仿宋简体" w:hAnsi="方正仿宋简体" w:eastAsia="仿宋" w:cs="方正仿宋简体"/>
          <w:sz w:val="28"/>
          <w:szCs w:val="28"/>
          <w:lang w:val="en-US" w:eastAsia="zh-CN"/>
        </w:rPr>
      </w:pPr>
      <w:r>
        <w:rPr>
          <w:rFonts w:hint="eastAsia" w:ascii="方正仿宋简体" w:hAnsi="方正仿宋简体" w:eastAsia="方正仿宋简体" w:cs="方正仿宋简体"/>
          <w:sz w:val="28"/>
          <w:szCs w:val="28"/>
        </w:rPr>
        <w:t>三、支出决算表..........................................................................</w:t>
      </w:r>
      <w:r>
        <w:rPr>
          <w:rFonts w:hint="eastAsia" w:eastAsia="仿宋"/>
          <w:sz w:val="28"/>
          <w:szCs w:val="28"/>
        </w:rPr>
        <w:t>1</w:t>
      </w:r>
      <w:r>
        <w:rPr>
          <w:rFonts w:hint="eastAsia" w:eastAsia="仿宋"/>
          <w:sz w:val="28"/>
          <w:szCs w:val="28"/>
          <w:lang w:val="en-US" w:eastAsia="zh-CN"/>
        </w:rPr>
        <w:t>7</w:t>
      </w:r>
    </w:p>
    <w:p w14:paraId="1E0A9EEC">
      <w:pPr>
        <w:pStyle w:val="8"/>
        <w:tabs>
          <w:tab w:val="right" w:pos="7560"/>
        </w:tabs>
        <w:adjustRightInd w:val="0"/>
        <w:snapToGrid w:val="0"/>
        <w:spacing w:line="560" w:lineRule="exact"/>
        <w:rPr>
          <w:rFonts w:hint="eastAsia" w:ascii="方正仿宋简体" w:hAnsi="方正仿宋简体" w:eastAsia="仿宋" w:cs="方正仿宋简体"/>
          <w:sz w:val="28"/>
          <w:szCs w:val="28"/>
          <w:lang w:val="en-US" w:eastAsia="zh-CN"/>
        </w:rPr>
      </w:pPr>
      <w:r>
        <w:rPr>
          <w:rFonts w:hint="eastAsia" w:ascii="方正仿宋简体" w:hAnsi="方正仿宋简体" w:eastAsia="方正仿宋简体" w:cs="方正仿宋简体"/>
          <w:sz w:val="28"/>
          <w:szCs w:val="28"/>
        </w:rPr>
        <w:t>四、财政拨款收入支出决算总表...................................................</w:t>
      </w:r>
      <w:r>
        <w:rPr>
          <w:rFonts w:hint="eastAsia" w:eastAsia="仿宋"/>
          <w:sz w:val="28"/>
          <w:szCs w:val="28"/>
        </w:rPr>
        <w:t>1</w:t>
      </w:r>
      <w:r>
        <w:rPr>
          <w:rFonts w:hint="eastAsia" w:eastAsia="仿宋"/>
          <w:sz w:val="28"/>
          <w:szCs w:val="28"/>
          <w:lang w:val="en-US" w:eastAsia="zh-CN"/>
        </w:rPr>
        <w:t>7</w:t>
      </w:r>
    </w:p>
    <w:p w14:paraId="187F81ED">
      <w:pPr>
        <w:pStyle w:val="8"/>
        <w:tabs>
          <w:tab w:val="right" w:pos="7560"/>
        </w:tabs>
        <w:adjustRightInd w:val="0"/>
        <w:snapToGrid w:val="0"/>
        <w:spacing w:line="560" w:lineRule="exact"/>
        <w:rPr>
          <w:rFonts w:hint="eastAsia" w:ascii="方正仿宋简体" w:hAnsi="方正仿宋简体" w:eastAsia="仿宋" w:cs="方正仿宋简体"/>
          <w:sz w:val="28"/>
          <w:szCs w:val="28"/>
          <w:lang w:val="en-US" w:eastAsia="zh-CN"/>
        </w:rPr>
      </w:pPr>
      <w:r>
        <w:rPr>
          <w:rFonts w:hint="eastAsia" w:ascii="方正仿宋简体" w:hAnsi="方正仿宋简体" w:eastAsia="方正仿宋简体" w:cs="方正仿宋简体"/>
          <w:sz w:val="28"/>
          <w:szCs w:val="28"/>
        </w:rPr>
        <w:t>五、财政拨款支出决算明细表......................................................</w:t>
      </w:r>
      <w:r>
        <w:rPr>
          <w:rFonts w:hint="eastAsia" w:eastAsia="仿宋"/>
          <w:sz w:val="28"/>
          <w:szCs w:val="28"/>
        </w:rPr>
        <w:t>1</w:t>
      </w:r>
      <w:r>
        <w:rPr>
          <w:rFonts w:hint="eastAsia" w:eastAsia="仿宋"/>
          <w:sz w:val="28"/>
          <w:szCs w:val="28"/>
          <w:lang w:val="en-US" w:eastAsia="zh-CN"/>
        </w:rPr>
        <w:t>7</w:t>
      </w:r>
    </w:p>
    <w:p w14:paraId="6EA831CB">
      <w:pPr>
        <w:pStyle w:val="8"/>
        <w:tabs>
          <w:tab w:val="right" w:pos="7560"/>
        </w:tabs>
        <w:adjustRightInd w:val="0"/>
        <w:snapToGrid w:val="0"/>
        <w:spacing w:line="560" w:lineRule="exact"/>
        <w:rPr>
          <w:rFonts w:hint="eastAsia" w:ascii="方正仿宋简体" w:hAnsi="方正仿宋简体" w:eastAsia="仿宋" w:cs="方正仿宋简体"/>
          <w:sz w:val="28"/>
          <w:szCs w:val="28"/>
          <w:lang w:val="en-US" w:eastAsia="zh-CN"/>
        </w:rPr>
      </w:pPr>
      <w:r>
        <w:rPr>
          <w:rFonts w:hint="eastAsia" w:ascii="方正仿宋简体" w:hAnsi="方正仿宋简体" w:eastAsia="方正仿宋简体" w:cs="方正仿宋简体"/>
          <w:sz w:val="28"/>
          <w:szCs w:val="28"/>
        </w:rPr>
        <w:t>六、一般公共预算财政拨款支出决算表.........................................</w:t>
      </w:r>
      <w:r>
        <w:rPr>
          <w:rFonts w:hint="eastAsia" w:eastAsia="仿宋"/>
          <w:sz w:val="28"/>
          <w:szCs w:val="28"/>
        </w:rPr>
        <w:t>1</w:t>
      </w:r>
      <w:r>
        <w:rPr>
          <w:rFonts w:hint="eastAsia" w:eastAsia="仿宋"/>
          <w:sz w:val="28"/>
          <w:szCs w:val="28"/>
          <w:lang w:val="en-US" w:eastAsia="zh-CN"/>
        </w:rPr>
        <w:t>7</w:t>
      </w:r>
    </w:p>
    <w:p w14:paraId="458B2AA3">
      <w:pPr>
        <w:pStyle w:val="8"/>
        <w:tabs>
          <w:tab w:val="right" w:pos="7560"/>
        </w:tabs>
        <w:adjustRightInd w:val="0"/>
        <w:snapToGrid w:val="0"/>
        <w:spacing w:line="560" w:lineRule="exact"/>
        <w:rPr>
          <w:rFonts w:hint="eastAsia" w:ascii="方正仿宋简体" w:hAnsi="方正仿宋简体" w:eastAsia="仿宋" w:cs="方正仿宋简体"/>
          <w:sz w:val="28"/>
          <w:szCs w:val="28"/>
          <w:lang w:val="en-US" w:eastAsia="zh-CN"/>
        </w:rPr>
      </w:pPr>
      <w:r>
        <w:rPr>
          <w:rFonts w:hint="eastAsia" w:ascii="方正仿宋简体" w:hAnsi="方正仿宋简体" w:eastAsia="方正仿宋简体" w:cs="方正仿宋简体"/>
          <w:sz w:val="28"/>
          <w:szCs w:val="28"/>
        </w:rPr>
        <w:t>七、一般公共预算财政拨款支出决算明细表..................................</w:t>
      </w:r>
      <w:r>
        <w:rPr>
          <w:rFonts w:hint="eastAsia" w:eastAsia="仿宋"/>
          <w:sz w:val="28"/>
          <w:szCs w:val="28"/>
        </w:rPr>
        <w:t>1</w:t>
      </w:r>
      <w:r>
        <w:rPr>
          <w:rFonts w:hint="eastAsia" w:eastAsia="仿宋"/>
          <w:sz w:val="28"/>
          <w:szCs w:val="28"/>
          <w:lang w:val="en-US" w:eastAsia="zh-CN"/>
        </w:rPr>
        <w:t>7</w:t>
      </w:r>
    </w:p>
    <w:p w14:paraId="06EF8CA7">
      <w:pPr>
        <w:pStyle w:val="8"/>
        <w:tabs>
          <w:tab w:val="right" w:pos="7560"/>
        </w:tabs>
        <w:adjustRightInd w:val="0"/>
        <w:snapToGrid w:val="0"/>
        <w:spacing w:line="560" w:lineRule="exact"/>
        <w:rPr>
          <w:rFonts w:hint="eastAsia" w:ascii="方正仿宋简体" w:hAnsi="方正仿宋简体" w:eastAsia="仿宋" w:cs="方正仿宋简体"/>
          <w:sz w:val="28"/>
          <w:szCs w:val="28"/>
          <w:lang w:val="en-US" w:eastAsia="zh-CN"/>
        </w:rPr>
      </w:pPr>
      <w:r>
        <w:rPr>
          <w:rFonts w:hint="eastAsia" w:ascii="方正仿宋简体" w:hAnsi="方正仿宋简体" w:eastAsia="方正仿宋简体" w:cs="方正仿宋简体"/>
          <w:sz w:val="28"/>
          <w:szCs w:val="28"/>
        </w:rPr>
        <w:t>八、一般公共预算财政拨款基本支出决算明细表............................</w:t>
      </w:r>
      <w:r>
        <w:rPr>
          <w:rFonts w:hint="eastAsia" w:eastAsia="仿宋"/>
          <w:sz w:val="28"/>
          <w:szCs w:val="28"/>
        </w:rPr>
        <w:t>1</w:t>
      </w:r>
      <w:r>
        <w:rPr>
          <w:rFonts w:hint="eastAsia" w:eastAsia="仿宋"/>
          <w:sz w:val="28"/>
          <w:szCs w:val="28"/>
          <w:lang w:val="en-US" w:eastAsia="zh-CN"/>
        </w:rPr>
        <w:t>7</w:t>
      </w:r>
    </w:p>
    <w:p w14:paraId="2EF3A98D">
      <w:pPr>
        <w:pStyle w:val="8"/>
        <w:tabs>
          <w:tab w:val="right" w:pos="7560"/>
        </w:tabs>
        <w:adjustRightInd w:val="0"/>
        <w:snapToGrid w:val="0"/>
        <w:spacing w:line="560" w:lineRule="exact"/>
        <w:rPr>
          <w:rFonts w:hint="eastAsia" w:ascii="方正仿宋简体" w:hAnsi="方正仿宋简体" w:eastAsia="仿宋" w:cs="方正仿宋简体"/>
          <w:sz w:val="28"/>
          <w:szCs w:val="28"/>
          <w:lang w:val="en-US" w:eastAsia="zh-CN"/>
        </w:rPr>
      </w:pPr>
      <w:r>
        <w:rPr>
          <w:rFonts w:hint="eastAsia" w:ascii="方正仿宋简体" w:hAnsi="方正仿宋简体" w:eastAsia="方正仿宋简体" w:cs="方正仿宋简体"/>
          <w:sz w:val="28"/>
          <w:szCs w:val="28"/>
        </w:rPr>
        <w:t>九、一般公共预算财政拨款项目支出决算表.................................</w:t>
      </w:r>
      <w:r>
        <w:rPr>
          <w:rFonts w:hint="eastAsia" w:eastAsia="仿宋"/>
          <w:sz w:val="28"/>
          <w:szCs w:val="28"/>
        </w:rPr>
        <w:t>.1</w:t>
      </w:r>
      <w:r>
        <w:rPr>
          <w:rFonts w:hint="eastAsia" w:eastAsia="仿宋"/>
          <w:sz w:val="28"/>
          <w:szCs w:val="28"/>
          <w:lang w:val="en-US" w:eastAsia="zh-CN"/>
        </w:rPr>
        <w:t>7</w:t>
      </w:r>
    </w:p>
    <w:p w14:paraId="54BC599E">
      <w:pPr>
        <w:pStyle w:val="8"/>
        <w:tabs>
          <w:tab w:val="right" w:pos="7560"/>
        </w:tabs>
        <w:adjustRightInd w:val="0"/>
        <w:snapToGrid w:val="0"/>
        <w:spacing w:line="560" w:lineRule="exact"/>
        <w:rPr>
          <w:rFonts w:hint="eastAsia" w:ascii="方正仿宋简体" w:hAnsi="方正仿宋简体" w:eastAsia="仿宋" w:cs="方正仿宋简体"/>
          <w:sz w:val="28"/>
          <w:szCs w:val="28"/>
          <w:lang w:val="en-US" w:eastAsia="zh-CN"/>
        </w:rPr>
      </w:pPr>
      <w:r>
        <w:rPr>
          <w:rFonts w:hint="eastAsia" w:ascii="方正仿宋简体" w:hAnsi="方正仿宋简体" w:eastAsia="方正仿宋简体" w:cs="方正仿宋简体"/>
          <w:sz w:val="28"/>
          <w:szCs w:val="28"/>
        </w:rPr>
        <w:t>十、政府性基金预算财政拨款收入支出决算表...............................</w:t>
      </w:r>
      <w:r>
        <w:rPr>
          <w:rFonts w:hint="eastAsia" w:eastAsia="仿宋"/>
          <w:sz w:val="28"/>
          <w:szCs w:val="28"/>
        </w:rPr>
        <w:t>1</w:t>
      </w:r>
      <w:r>
        <w:rPr>
          <w:rFonts w:hint="eastAsia" w:eastAsia="仿宋"/>
          <w:sz w:val="28"/>
          <w:szCs w:val="28"/>
          <w:lang w:val="en-US" w:eastAsia="zh-CN"/>
        </w:rPr>
        <w:t>7</w:t>
      </w:r>
    </w:p>
    <w:p w14:paraId="58C6E29B">
      <w:pPr>
        <w:pStyle w:val="8"/>
        <w:tabs>
          <w:tab w:val="right" w:pos="7560"/>
        </w:tabs>
        <w:adjustRightInd w:val="0"/>
        <w:snapToGrid w:val="0"/>
        <w:spacing w:line="560" w:lineRule="exact"/>
        <w:rPr>
          <w:rFonts w:hint="eastAsia" w:ascii="方正仿宋简体" w:hAnsi="方正仿宋简体" w:eastAsia="仿宋" w:cs="方正仿宋简体"/>
          <w:sz w:val="28"/>
          <w:szCs w:val="28"/>
          <w:lang w:val="en-US" w:eastAsia="zh-CN"/>
        </w:rPr>
      </w:pPr>
      <w:r>
        <w:rPr>
          <w:rFonts w:hint="eastAsia" w:ascii="方正仿宋简体" w:hAnsi="方正仿宋简体" w:eastAsia="方正仿宋简体" w:cs="方正仿宋简体"/>
          <w:sz w:val="28"/>
          <w:szCs w:val="28"/>
        </w:rPr>
        <w:t>十一、国有资本经营预算财政拨款收入支出决算表........................</w:t>
      </w:r>
      <w:r>
        <w:rPr>
          <w:rFonts w:hint="eastAsia" w:eastAsia="仿宋"/>
          <w:sz w:val="28"/>
          <w:szCs w:val="28"/>
        </w:rPr>
        <w:t>1</w:t>
      </w:r>
      <w:r>
        <w:rPr>
          <w:rFonts w:hint="eastAsia" w:eastAsia="仿宋"/>
          <w:sz w:val="28"/>
          <w:szCs w:val="28"/>
          <w:lang w:val="en-US" w:eastAsia="zh-CN"/>
        </w:rPr>
        <w:t>7</w:t>
      </w:r>
    </w:p>
    <w:p w14:paraId="6E558E4E">
      <w:pPr>
        <w:pStyle w:val="8"/>
        <w:tabs>
          <w:tab w:val="right" w:pos="7560"/>
        </w:tabs>
        <w:adjustRightInd w:val="0"/>
        <w:snapToGrid w:val="0"/>
        <w:spacing w:line="560" w:lineRule="exact"/>
        <w:rPr>
          <w:rFonts w:hint="eastAsia" w:ascii="方正仿宋简体" w:hAnsi="方正仿宋简体" w:eastAsia="仿宋" w:cs="方正仿宋简体"/>
          <w:sz w:val="28"/>
          <w:szCs w:val="28"/>
          <w:lang w:val="en-US" w:eastAsia="zh-CN"/>
        </w:rPr>
      </w:pPr>
      <w:r>
        <w:rPr>
          <w:rFonts w:hint="eastAsia" w:ascii="方正仿宋简体" w:hAnsi="方正仿宋简体" w:eastAsia="方正仿宋简体" w:cs="方正仿宋简体"/>
          <w:sz w:val="28"/>
          <w:szCs w:val="28"/>
        </w:rPr>
        <w:t>十二、国有资本经营预算财政拨款支出决算表................................</w:t>
      </w:r>
      <w:r>
        <w:rPr>
          <w:rFonts w:hint="eastAsia" w:eastAsia="仿宋"/>
          <w:sz w:val="28"/>
          <w:szCs w:val="28"/>
        </w:rPr>
        <w:t>1</w:t>
      </w:r>
      <w:r>
        <w:rPr>
          <w:rFonts w:hint="eastAsia" w:eastAsia="仿宋"/>
          <w:sz w:val="28"/>
          <w:szCs w:val="28"/>
          <w:lang w:val="en-US" w:eastAsia="zh-CN"/>
        </w:rPr>
        <w:t>7</w:t>
      </w:r>
    </w:p>
    <w:p w14:paraId="2BB0C0DA">
      <w:pPr>
        <w:pStyle w:val="8"/>
        <w:tabs>
          <w:tab w:val="right" w:pos="7560"/>
        </w:tabs>
        <w:adjustRightInd w:val="0"/>
        <w:snapToGrid w:val="0"/>
        <w:spacing w:line="560" w:lineRule="exact"/>
        <w:rPr>
          <w:rFonts w:hint="eastAsia" w:ascii="方正仿宋简体" w:hAnsi="方正仿宋简体" w:eastAsia="仿宋" w:cs="方正仿宋简体"/>
          <w:sz w:val="28"/>
          <w:szCs w:val="28"/>
          <w:lang w:val="en-US" w:eastAsia="zh-CN"/>
        </w:rPr>
      </w:pPr>
      <w:r>
        <w:rPr>
          <w:rFonts w:hint="eastAsia" w:ascii="方正仿宋简体" w:hAnsi="方正仿宋简体" w:eastAsia="方正仿宋简体" w:cs="方正仿宋简体"/>
          <w:sz w:val="28"/>
          <w:szCs w:val="28"/>
        </w:rPr>
        <w:t>十三、财政拨款“三公”经费支出决算表......................................</w:t>
      </w:r>
      <w:r>
        <w:rPr>
          <w:rFonts w:hint="eastAsia" w:eastAsia="仿宋"/>
          <w:sz w:val="28"/>
          <w:szCs w:val="28"/>
        </w:rPr>
        <w:t>1</w:t>
      </w:r>
      <w:r>
        <w:rPr>
          <w:rFonts w:hint="eastAsia" w:eastAsia="仿宋"/>
          <w:sz w:val="28"/>
          <w:szCs w:val="28"/>
          <w:lang w:val="en-US" w:eastAsia="zh-CN"/>
        </w:rPr>
        <w:t>7</w:t>
      </w:r>
    </w:p>
    <w:p w14:paraId="266746B8">
      <w:pPr>
        <w:widowControl/>
        <w:tabs>
          <w:tab w:val="right" w:pos="7560"/>
        </w:tabs>
        <w:spacing w:line="440" w:lineRule="exact"/>
        <w:rPr>
          <w:rFonts w:ascii="方正仿宋简体" w:hAnsi="方正仿宋简体" w:eastAsia="方正仿宋简体" w:cs="方正仿宋简体"/>
          <w:kern w:val="44"/>
          <w:sz w:val="28"/>
          <w:szCs w:val="28"/>
        </w:rPr>
      </w:pPr>
      <w:bookmarkStart w:id="13" w:name="_Toc15377196"/>
      <w:bookmarkStart w:id="14" w:name="_Toc15396599"/>
      <w:r>
        <w:rPr>
          <w:rFonts w:hint="eastAsia" w:ascii="方正仿宋简体" w:hAnsi="方正仿宋简体" w:eastAsia="方正仿宋简体" w:cs="方正仿宋简体"/>
          <w:sz w:val="28"/>
          <w:szCs w:val="28"/>
        </w:rPr>
        <w:br w:type="page"/>
      </w:r>
    </w:p>
    <w:bookmarkEnd w:id="13"/>
    <w:bookmarkEnd w:id="14"/>
    <w:p w14:paraId="36904106">
      <w:pPr>
        <w:pStyle w:val="3"/>
        <w:spacing w:before="0" w:after="0"/>
        <w:jc w:val="center"/>
        <w:rPr>
          <w:rStyle w:val="12"/>
          <w:rFonts w:eastAsia="黑体"/>
          <w:b w:val="0"/>
          <w:bCs w:val="0"/>
        </w:rPr>
      </w:pPr>
      <w:r>
        <w:rPr>
          <w:rFonts w:eastAsia="黑体"/>
          <w:b w:val="0"/>
        </w:rPr>
        <w:t>第一部分</w:t>
      </w:r>
      <w:r>
        <w:rPr>
          <w:rFonts w:hint="eastAsia" w:eastAsia="黑体"/>
          <w:b w:val="0"/>
          <w:lang w:val="en-US" w:eastAsia="zh-CN"/>
        </w:rPr>
        <w:t xml:space="preserve"> </w:t>
      </w:r>
      <w:r>
        <w:rPr>
          <w:rFonts w:eastAsia="黑体"/>
          <w:b w:val="0"/>
        </w:rPr>
        <w:t>单位</w:t>
      </w:r>
      <w:r>
        <w:rPr>
          <w:rStyle w:val="12"/>
          <w:rFonts w:eastAsia="黑体"/>
          <w:b w:val="0"/>
          <w:bCs w:val="0"/>
        </w:rPr>
        <w:t>概况</w:t>
      </w:r>
    </w:p>
    <w:p w14:paraId="4D783824"/>
    <w:p w14:paraId="22AF0989">
      <w:pPr>
        <w:pStyle w:val="4"/>
        <w:numPr>
          <w:ilvl w:val="0"/>
          <w:numId w:val="1"/>
        </w:numPr>
        <w:spacing w:before="0" w:after="0"/>
        <w:rPr>
          <w:rStyle w:val="13"/>
          <w:rFonts w:ascii="Times New Roman" w:hAnsi="Times New Roman" w:eastAsia="方正黑体简体" w:cs="Times New Roman"/>
          <w:b w:val="0"/>
          <w:bCs w:val="0"/>
        </w:rPr>
      </w:pPr>
      <w:r>
        <w:rPr>
          <w:rStyle w:val="13"/>
          <w:rFonts w:ascii="Times New Roman" w:hAnsi="Times New Roman" w:eastAsia="方正黑体简体" w:cs="Times New Roman"/>
          <w:b w:val="0"/>
          <w:bCs w:val="0"/>
        </w:rPr>
        <w:t>主要职责</w:t>
      </w:r>
    </w:p>
    <w:p w14:paraId="77B1D9F1">
      <w:pPr>
        <w:spacing w:line="560" w:lineRule="exact"/>
        <w:ind w:firstLine="640" w:firstLineChars="200"/>
        <w:rPr>
          <w:rFonts w:eastAsia="方正仿宋简体"/>
          <w:sz w:val="32"/>
          <w:szCs w:val="32"/>
          <w:shd w:val="clear" w:color="auto" w:fill="FFFFFF"/>
        </w:rPr>
      </w:pPr>
      <w:r>
        <w:rPr>
          <w:rFonts w:eastAsia="方正仿宋简体"/>
          <w:sz w:val="32"/>
          <w:szCs w:val="32"/>
          <w:shd w:val="clear" w:color="auto" w:fill="FFFFFF"/>
        </w:rPr>
        <w:t>承担烈士纪念设施的规划、设计、建设、展陈等应用研究和技术支撑工作；承担烈士、烈属和烈士纪念设施的数据信息采集、更新及全省烈士纪念设施数据平台建设和运行维护等事务性工作；承担烈士英名录的编纂、烈士遗物搜集整理、烈士事迹及相关史料收集、烈士文化研究等事务性工作，协助开展烈士祭扫、纪念、宣传、教育等活动，配合做好异地祭扫工作；承担烈士寻亲、烈属优待帮扶、烈士纪念设施修缮保护等行政辅助工作；承担烈士评定专业档案归档、保存、管理和褒扬纪念专家库建设、专家评审会等事务性工作,协助做好国家级、省级烈士纪念设施的申报、备案工作，配合开展调研、检查、督查和考评工作；承担失踪烈士搜寻、发掘、保护工作，依托专业机构开展烈士遗骸搜寻鉴定、失踪烈士亲属DNA信息采集、鉴定、比对等工作；完成四川省退役军人事务厅交办的其他工作。</w:t>
      </w:r>
    </w:p>
    <w:bookmarkEnd w:id="11"/>
    <w:bookmarkEnd w:id="12"/>
    <w:p w14:paraId="4BE5E4B2">
      <w:pPr>
        <w:pStyle w:val="4"/>
        <w:spacing w:before="0" w:after="0"/>
        <w:ind w:firstLine="640" w:firstLineChars="200"/>
        <w:rPr>
          <w:rFonts w:ascii="Times New Roman" w:hAnsi="Times New Roman" w:eastAsia="方正黑体简体" w:cs="Times New Roman"/>
          <w:b w:val="0"/>
        </w:rPr>
      </w:pPr>
      <w:r>
        <w:rPr>
          <w:rFonts w:ascii="Times New Roman" w:hAnsi="Times New Roman" w:eastAsia="方正黑体简体" w:cs="Times New Roman"/>
          <w:b w:val="0"/>
        </w:rPr>
        <w:t>二、机构设置</w:t>
      </w:r>
    </w:p>
    <w:p w14:paraId="46446390">
      <w:pPr>
        <w:spacing w:line="560" w:lineRule="exact"/>
        <w:ind w:firstLine="640" w:firstLineChars="200"/>
        <w:rPr>
          <w:rFonts w:eastAsia="方正仿宋简体"/>
          <w:sz w:val="32"/>
          <w:szCs w:val="32"/>
          <w:shd w:val="clear" w:color="auto" w:fill="FFFFFF"/>
        </w:rPr>
      </w:pPr>
      <w:r>
        <w:rPr>
          <w:rFonts w:eastAsia="方正仿宋简体"/>
          <w:sz w:val="32"/>
          <w:szCs w:val="32"/>
          <w:shd w:val="clear" w:color="auto" w:fill="FFFFFF"/>
        </w:rPr>
        <w:t>中心内设4个机构，分别是综合部、设施保护部、数据信息部和调研宣传部。</w:t>
      </w:r>
    </w:p>
    <w:p w14:paraId="282C2C7D">
      <w:pPr>
        <w:widowControl/>
        <w:jc w:val="center"/>
        <w:rPr>
          <w:rStyle w:val="12"/>
          <w:rFonts w:eastAsia="黑体"/>
          <w:b w:val="0"/>
        </w:rPr>
      </w:pPr>
      <w:r>
        <w:rPr>
          <w:rFonts w:eastAsia="仿宋"/>
          <w:sz w:val="32"/>
          <w:szCs w:val="32"/>
        </w:rPr>
        <w:br w:type="page"/>
      </w:r>
      <w:bookmarkStart w:id="15" w:name="_Toc15377204"/>
      <w:bookmarkStart w:id="16" w:name="_Toc15396602"/>
      <w:bookmarkStart w:id="17" w:name="_Toc15396604"/>
      <w:bookmarkStart w:id="18" w:name="_Toc15377206"/>
      <w:r>
        <w:rPr>
          <w:rStyle w:val="12"/>
          <w:rFonts w:eastAsia="黑体"/>
          <w:b w:val="0"/>
        </w:rPr>
        <w:t>第二部分  202</w:t>
      </w:r>
      <w:r>
        <w:rPr>
          <w:rStyle w:val="12"/>
          <w:rFonts w:hint="eastAsia" w:eastAsia="黑体"/>
          <w:b w:val="0"/>
        </w:rPr>
        <w:t>3</w:t>
      </w:r>
      <w:r>
        <w:rPr>
          <w:rStyle w:val="12"/>
          <w:rFonts w:eastAsia="黑体"/>
          <w:b w:val="0"/>
        </w:rPr>
        <w:t>年度单位决算情况说明</w:t>
      </w:r>
      <w:bookmarkEnd w:id="15"/>
      <w:bookmarkEnd w:id="16"/>
    </w:p>
    <w:p w14:paraId="227CA0A4">
      <w:pPr>
        <w:pStyle w:val="2"/>
        <w:spacing w:before="93"/>
        <w:rPr>
          <w:rFonts w:ascii="Times New Roman"/>
          <w:bCs/>
        </w:rPr>
      </w:pPr>
    </w:p>
    <w:p w14:paraId="202C4DB6">
      <w:pPr>
        <w:pStyle w:val="14"/>
        <w:numPr>
          <w:ilvl w:val="0"/>
          <w:numId w:val="2"/>
        </w:numPr>
        <w:spacing w:line="600" w:lineRule="exact"/>
        <w:ind w:firstLineChars="0"/>
        <w:outlineLvl w:val="1"/>
        <w:rPr>
          <w:rStyle w:val="13"/>
          <w:rFonts w:ascii="Times New Roman" w:hAnsi="Times New Roman" w:eastAsia="方正黑体简体" w:cs="Times New Roman"/>
          <w:b w:val="0"/>
        </w:rPr>
      </w:pPr>
      <w:bookmarkStart w:id="19" w:name="_Toc15396603"/>
      <w:bookmarkStart w:id="20" w:name="_Toc15377205"/>
      <w:r>
        <w:rPr>
          <w:rFonts w:eastAsia="方正黑体简体"/>
          <w:sz w:val="32"/>
          <w:szCs w:val="32"/>
        </w:rPr>
        <w:t>收</w:t>
      </w:r>
      <w:r>
        <w:rPr>
          <w:rStyle w:val="13"/>
          <w:rFonts w:ascii="Times New Roman" w:hAnsi="Times New Roman" w:eastAsia="方正黑体简体" w:cs="Times New Roman"/>
          <w:b w:val="0"/>
        </w:rPr>
        <w:t>入支出决算总体情况说明</w:t>
      </w:r>
      <w:bookmarkEnd w:id="19"/>
      <w:bookmarkEnd w:id="20"/>
    </w:p>
    <w:p w14:paraId="2787CB25">
      <w:pPr>
        <w:spacing w:line="560" w:lineRule="exact"/>
        <w:ind w:firstLine="640" w:firstLineChars="200"/>
        <w:rPr>
          <w:rFonts w:eastAsia="方正仿宋简体"/>
          <w:sz w:val="32"/>
          <w:szCs w:val="32"/>
          <w:shd w:val="clear" w:color="auto" w:fill="FFFFFF"/>
        </w:rPr>
      </w:pPr>
      <w:r>
        <w:rPr>
          <w:rFonts w:eastAsia="方正仿宋简体"/>
          <w:sz w:val="32"/>
          <w:szCs w:val="32"/>
          <w:shd w:val="clear" w:color="auto" w:fill="FFFFFF"/>
        </w:rPr>
        <w:t>202</w:t>
      </w:r>
      <w:r>
        <w:rPr>
          <w:rFonts w:hint="eastAsia" w:eastAsia="方正仿宋简体"/>
          <w:sz w:val="32"/>
          <w:szCs w:val="32"/>
          <w:shd w:val="clear" w:color="auto" w:fill="FFFFFF"/>
        </w:rPr>
        <w:t>3</w:t>
      </w:r>
      <w:r>
        <w:rPr>
          <w:rFonts w:eastAsia="方正仿宋简体"/>
          <w:sz w:val="32"/>
          <w:szCs w:val="32"/>
          <w:shd w:val="clear" w:color="auto" w:fill="FFFFFF"/>
        </w:rPr>
        <w:t>年度收、支总计</w:t>
      </w:r>
      <w:r>
        <w:rPr>
          <w:rFonts w:hint="eastAsia" w:eastAsia="方正仿宋简体"/>
          <w:sz w:val="32"/>
          <w:szCs w:val="32"/>
          <w:shd w:val="clear" w:color="auto" w:fill="FFFFFF"/>
          <w:lang w:eastAsia="zh-CN"/>
        </w:rPr>
        <w:t>均为</w:t>
      </w:r>
      <w:r>
        <w:rPr>
          <w:rFonts w:hint="eastAsia" w:eastAsia="方正仿宋简体"/>
          <w:sz w:val="32"/>
          <w:szCs w:val="32"/>
          <w:shd w:val="clear" w:color="auto" w:fill="FFFFFF"/>
        </w:rPr>
        <w:t>429.74</w:t>
      </w:r>
      <w:r>
        <w:rPr>
          <w:rFonts w:eastAsia="方正仿宋简体"/>
          <w:sz w:val="32"/>
          <w:szCs w:val="32"/>
          <w:shd w:val="clear" w:color="auto" w:fill="FFFFFF"/>
        </w:rPr>
        <w:t>万元。与202</w:t>
      </w:r>
      <w:r>
        <w:rPr>
          <w:rFonts w:hint="eastAsia" w:eastAsia="方正仿宋简体"/>
          <w:sz w:val="32"/>
          <w:szCs w:val="32"/>
          <w:shd w:val="clear" w:color="auto" w:fill="FFFFFF"/>
        </w:rPr>
        <w:t>2</w:t>
      </w:r>
      <w:r>
        <w:rPr>
          <w:rFonts w:eastAsia="方正仿宋简体"/>
          <w:sz w:val="32"/>
          <w:szCs w:val="32"/>
          <w:shd w:val="clear" w:color="auto" w:fill="FFFFFF"/>
        </w:rPr>
        <w:t>年相比，收、支总计各增加</w:t>
      </w:r>
      <w:r>
        <w:rPr>
          <w:rFonts w:hint="eastAsia" w:eastAsia="方正仿宋简体"/>
          <w:sz w:val="32"/>
          <w:szCs w:val="32"/>
          <w:shd w:val="clear" w:color="auto" w:fill="FFFFFF"/>
        </w:rPr>
        <w:t>92.24</w:t>
      </w:r>
      <w:r>
        <w:rPr>
          <w:rFonts w:eastAsia="方正仿宋简体"/>
          <w:sz w:val="32"/>
          <w:szCs w:val="32"/>
          <w:shd w:val="clear" w:color="auto" w:fill="FFFFFF"/>
        </w:rPr>
        <w:t>万元，增长</w:t>
      </w:r>
      <w:r>
        <w:rPr>
          <w:rFonts w:hint="eastAsia" w:eastAsia="方正仿宋简体"/>
          <w:sz w:val="32"/>
          <w:szCs w:val="32"/>
          <w:shd w:val="clear" w:color="auto" w:fill="FFFFFF"/>
        </w:rPr>
        <w:t>27.33</w:t>
      </w:r>
      <w:r>
        <w:rPr>
          <w:rFonts w:eastAsia="方正仿宋简体"/>
          <w:sz w:val="32"/>
          <w:szCs w:val="32"/>
          <w:shd w:val="clear" w:color="auto" w:fill="FFFFFF"/>
        </w:rPr>
        <w:t>%。主要变动原因</w:t>
      </w:r>
      <w:r>
        <w:rPr>
          <w:rFonts w:hint="eastAsia" w:eastAsia="方正仿宋简体"/>
          <w:sz w:val="32"/>
          <w:szCs w:val="32"/>
          <w:shd w:val="clear" w:color="auto" w:fill="FFFFFF"/>
        </w:rPr>
        <w:t>是因工作需要中心2023年购置公务用车一辆34.27万元，本年新增住房补贴31.5万元及本年绩效工资人均调标上涨等原因导致</w:t>
      </w:r>
      <w:r>
        <w:rPr>
          <w:rFonts w:eastAsia="方正仿宋简体"/>
          <w:sz w:val="32"/>
          <w:szCs w:val="32"/>
          <w:shd w:val="clear" w:color="auto" w:fill="FFFFFF"/>
        </w:rPr>
        <w:t>。</w:t>
      </w:r>
    </w:p>
    <w:p w14:paraId="514E2013">
      <w:pPr>
        <w:pStyle w:val="2"/>
        <w:spacing w:before="93"/>
        <w:rPr>
          <w:rFonts w:ascii="Times New Roman"/>
        </w:rPr>
      </w:pPr>
    </w:p>
    <w:p w14:paraId="4CED3761">
      <w:pPr>
        <w:spacing w:line="560" w:lineRule="exact"/>
        <w:ind w:firstLine="6400" w:firstLineChars="2000"/>
        <w:rPr>
          <w:rFonts w:eastAsia="方正仿宋简体"/>
          <w:sz w:val="32"/>
          <w:szCs w:val="32"/>
          <w:shd w:val="clear" w:color="auto" w:fill="FFFFFF"/>
        </w:rPr>
      </w:pPr>
      <w:r>
        <w:rPr>
          <w:rFonts w:eastAsia="方正仿宋简体"/>
          <w:sz w:val="32"/>
          <w:szCs w:val="32"/>
          <w:shd w:val="clear" w:color="auto" w:fill="FFFFFF"/>
        </w:rPr>
        <w:t>单位：万元</w:t>
      </w:r>
    </w:p>
    <w:p w14:paraId="6E594E1F">
      <w:pPr>
        <w:pStyle w:val="2"/>
        <w:spacing w:before="93"/>
        <w:rPr>
          <w:rFonts w:ascii="Times New Roman"/>
        </w:rPr>
      </w:pPr>
      <w:r>
        <w:rPr>
          <w:rFonts w:ascii="Times New Roman"/>
        </w:rPr>
        <w:drawing>
          <wp:anchor distT="0" distB="0" distL="114300" distR="114300" simplePos="0" relativeHeight="251659264" behindDoc="0" locked="0" layoutInCell="1" allowOverlap="1">
            <wp:simplePos x="0" y="0"/>
            <wp:positionH relativeFrom="column">
              <wp:posOffset>325120</wp:posOffset>
            </wp:positionH>
            <wp:positionV relativeFrom="paragraph">
              <wp:posOffset>162560</wp:posOffset>
            </wp:positionV>
            <wp:extent cx="4905375" cy="2743200"/>
            <wp:effectExtent l="4445" t="4445" r="5080" b="1460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B5197ED">
      <w:pPr>
        <w:pStyle w:val="2"/>
        <w:spacing w:before="93"/>
        <w:rPr>
          <w:rFonts w:ascii="Times New Roman"/>
        </w:rPr>
      </w:pPr>
    </w:p>
    <w:p w14:paraId="5F74FB9F">
      <w:pPr>
        <w:pStyle w:val="2"/>
        <w:spacing w:before="93"/>
        <w:rPr>
          <w:rFonts w:ascii="Times New Roman"/>
        </w:rPr>
      </w:pPr>
    </w:p>
    <w:p w14:paraId="48DC0723">
      <w:pPr>
        <w:pStyle w:val="2"/>
        <w:spacing w:before="93"/>
        <w:rPr>
          <w:rFonts w:ascii="Times New Roman"/>
        </w:rPr>
      </w:pPr>
    </w:p>
    <w:p w14:paraId="369356F2">
      <w:pPr>
        <w:pStyle w:val="2"/>
        <w:spacing w:before="93"/>
        <w:rPr>
          <w:rFonts w:ascii="Times New Roman"/>
        </w:rPr>
      </w:pPr>
    </w:p>
    <w:p w14:paraId="2652337E">
      <w:pPr>
        <w:spacing w:line="600" w:lineRule="exact"/>
        <w:ind w:firstLine="640" w:firstLineChars="200"/>
        <w:rPr>
          <w:rFonts w:eastAsia="仿宋"/>
          <w:sz w:val="32"/>
          <w:szCs w:val="32"/>
        </w:rPr>
      </w:pPr>
    </w:p>
    <w:p w14:paraId="3A6920C0">
      <w:pPr>
        <w:spacing w:line="600" w:lineRule="exact"/>
        <w:ind w:firstLine="640" w:firstLineChars="200"/>
        <w:rPr>
          <w:rFonts w:eastAsia="仿宋"/>
          <w:sz w:val="32"/>
          <w:szCs w:val="32"/>
        </w:rPr>
      </w:pPr>
    </w:p>
    <w:p w14:paraId="18FBCBE8">
      <w:pPr>
        <w:spacing w:line="600" w:lineRule="exact"/>
        <w:ind w:firstLine="640" w:firstLineChars="200"/>
        <w:jc w:val="center"/>
        <w:rPr>
          <w:rFonts w:eastAsia="方正仿宋简体"/>
          <w:sz w:val="32"/>
          <w:szCs w:val="32"/>
        </w:rPr>
      </w:pPr>
      <w:r>
        <w:rPr>
          <w:rFonts w:eastAsia="方正仿宋简体"/>
          <w:sz w:val="32"/>
          <w:szCs w:val="32"/>
        </w:rPr>
        <w:t>图1：收、支决算总计变动情况图</w:t>
      </w:r>
    </w:p>
    <w:p w14:paraId="08BA9577">
      <w:pPr>
        <w:spacing w:line="600" w:lineRule="exact"/>
        <w:ind w:firstLine="640" w:firstLineChars="200"/>
        <w:jc w:val="center"/>
        <w:rPr>
          <w:rFonts w:eastAsia="方正仿宋简体"/>
          <w:sz w:val="32"/>
          <w:szCs w:val="32"/>
        </w:rPr>
      </w:pPr>
    </w:p>
    <w:bookmarkEnd w:id="17"/>
    <w:bookmarkEnd w:id="18"/>
    <w:p w14:paraId="52781649">
      <w:pPr>
        <w:spacing w:line="560" w:lineRule="exact"/>
        <w:ind w:firstLine="640" w:firstLineChars="200"/>
        <w:rPr>
          <w:rStyle w:val="13"/>
          <w:rFonts w:ascii="Times New Roman" w:hAnsi="Times New Roman" w:eastAsia="方正黑体简体" w:cs="Times New Roman"/>
          <w:b w:val="0"/>
        </w:rPr>
      </w:pPr>
      <w:bookmarkStart w:id="21" w:name="_Toc15396605"/>
      <w:bookmarkStart w:id="22" w:name="_Toc15377207"/>
      <w:r>
        <w:rPr>
          <w:rFonts w:eastAsia="方正黑体简体"/>
          <w:sz w:val="32"/>
          <w:szCs w:val="32"/>
        </w:rPr>
        <w:t>二、收</w:t>
      </w:r>
      <w:r>
        <w:rPr>
          <w:rStyle w:val="13"/>
          <w:rFonts w:ascii="Times New Roman" w:hAnsi="Times New Roman" w:eastAsia="方正黑体简体" w:cs="Times New Roman"/>
          <w:b w:val="0"/>
        </w:rPr>
        <w:t>入决算情况说明</w:t>
      </w:r>
    </w:p>
    <w:p w14:paraId="096CF0D6">
      <w:pPr>
        <w:spacing w:line="600" w:lineRule="exact"/>
        <w:ind w:firstLine="640" w:firstLineChars="200"/>
        <w:outlineLvl w:val="1"/>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年本年收入合计</w:t>
      </w:r>
      <w:r>
        <w:rPr>
          <w:rFonts w:hint="eastAsia" w:eastAsia="方正仿宋简体"/>
          <w:sz w:val="32"/>
          <w:szCs w:val="32"/>
        </w:rPr>
        <w:t>429.74</w:t>
      </w:r>
      <w:r>
        <w:rPr>
          <w:rFonts w:eastAsia="方正仿宋简体"/>
          <w:sz w:val="32"/>
          <w:szCs w:val="32"/>
        </w:rPr>
        <w:t>万元，其中：一般公共预算财政拨款收入</w:t>
      </w:r>
      <w:r>
        <w:rPr>
          <w:rFonts w:hint="eastAsia" w:eastAsia="方正仿宋简体"/>
          <w:sz w:val="32"/>
          <w:szCs w:val="32"/>
        </w:rPr>
        <w:t>429.74</w:t>
      </w:r>
      <w:r>
        <w:rPr>
          <w:rFonts w:eastAsia="方正仿宋简体"/>
          <w:sz w:val="32"/>
          <w:szCs w:val="32"/>
        </w:rPr>
        <w:t>万元，占100%。</w:t>
      </w:r>
    </w:p>
    <w:p w14:paraId="3EECC8F0">
      <w:pPr>
        <w:pStyle w:val="2"/>
        <w:spacing w:before="93"/>
        <w:rPr>
          <w:rFonts w:ascii="Times New Roman"/>
        </w:rPr>
      </w:pPr>
      <w:r>
        <w:rPr>
          <w:rFonts w:ascii="Times New Roman"/>
        </w:rPr>
        <w:drawing>
          <wp:anchor distT="0" distB="0" distL="114300" distR="114300" simplePos="0" relativeHeight="251660288" behindDoc="0" locked="0" layoutInCell="1" allowOverlap="1">
            <wp:simplePos x="0" y="0"/>
            <wp:positionH relativeFrom="column">
              <wp:posOffset>431800</wp:posOffset>
            </wp:positionH>
            <wp:positionV relativeFrom="paragraph">
              <wp:posOffset>196215</wp:posOffset>
            </wp:positionV>
            <wp:extent cx="4560570" cy="1888490"/>
            <wp:effectExtent l="4445" t="4445" r="6985" b="12065"/>
            <wp:wrapNone/>
            <wp:docPr id="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A33A379">
      <w:pPr>
        <w:spacing w:line="600" w:lineRule="exact"/>
        <w:ind w:firstLine="643" w:firstLineChars="200"/>
        <w:outlineLvl w:val="1"/>
        <w:rPr>
          <w:rFonts w:eastAsia="仿宋"/>
          <w:b/>
          <w:sz w:val="32"/>
          <w:szCs w:val="32"/>
        </w:rPr>
      </w:pPr>
    </w:p>
    <w:p w14:paraId="4917103A">
      <w:pPr>
        <w:pStyle w:val="2"/>
        <w:spacing w:before="93"/>
        <w:rPr>
          <w:rFonts w:ascii="Times New Roman"/>
        </w:rPr>
      </w:pPr>
    </w:p>
    <w:p w14:paraId="338144A5">
      <w:pPr>
        <w:pStyle w:val="2"/>
        <w:spacing w:before="93"/>
        <w:rPr>
          <w:rFonts w:ascii="Times New Roman"/>
        </w:rPr>
      </w:pPr>
    </w:p>
    <w:p w14:paraId="4AF4E3DA">
      <w:pPr>
        <w:pStyle w:val="2"/>
        <w:spacing w:before="93"/>
        <w:rPr>
          <w:rFonts w:ascii="Times New Roman"/>
        </w:rPr>
      </w:pPr>
    </w:p>
    <w:p w14:paraId="6A84CEC2">
      <w:pPr>
        <w:spacing w:line="600" w:lineRule="exact"/>
        <w:ind w:firstLine="640" w:firstLineChars="200"/>
        <w:jc w:val="center"/>
        <w:outlineLvl w:val="1"/>
        <w:rPr>
          <w:rFonts w:eastAsia="仿宋"/>
          <w:sz w:val="32"/>
          <w:szCs w:val="32"/>
        </w:rPr>
      </w:pPr>
      <w:r>
        <w:rPr>
          <w:rFonts w:eastAsia="方正仿宋简体"/>
          <w:sz w:val="32"/>
          <w:szCs w:val="32"/>
        </w:rPr>
        <w:t>图2：收入决算结构图</w:t>
      </w:r>
    </w:p>
    <w:bookmarkEnd w:id="21"/>
    <w:bookmarkEnd w:id="22"/>
    <w:p w14:paraId="6B3D58AF">
      <w:pPr>
        <w:spacing w:line="600" w:lineRule="exact"/>
        <w:ind w:firstLine="640" w:firstLineChars="200"/>
        <w:outlineLvl w:val="1"/>
        <w:rPr>
          <w:rStyle w:val="13"/>
          <w:rFonts w:ascii="Times New Roman" w:hAnsi="Times New Roman" w:eastAsia="方正黑体简体" w:cs="Times New Roman"/>
          <w:b w:val="0"/>
          <w:bCs w:val="0"/>
        </w:rPr>
      </w:pPr>
      <w:bookmarkStart w:id="23" w:name="_Toc15396606"/>
      <w:bookmarkStart w:id="24" w:name="_Toc15377208"/>
      <w:r>
        <w:rPr>
          <w:rFonts w:eastAsia="方正黑体简体"/>
          <w:sz w:val="32"/>
          <w:szCs w:val="32"/>
        </w:rPr>
        <w:t>三、支</w:t>
      </w:r>
      <w:r>
        <w:rPr>
          <w:rStyle w:val="13"/>
          <w:rFonts w:ascii="Times New Roman" w:hAnsi="Times New Roman" w:eastAsia="方正黑体简体" w:cs="Times New Roman"/>
          <w:b w:val="0"/>
        </w:rPr>
        <w:t>出决算情况说明</w:t>
      </w:r>
    </w:p>
    <w:p w14:paraId="7A29AEDE">
      <w:pPr>
        <w:spacing w:line="600" w:lineRule="exact"/>
        <w:ind w:firstLine="640" w:firstLineChars="200"/>
        <w:outlineLvl w:val="1"/>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年本年支出合计</w:t>
      </w:r>
      <w:r>
        <w:rPr>
          <w:rFonts w:hint="eastAsia" w:eastAsia="方正仿宋简体"/>
          <w:sz w:val="32"/>
          <w:szCs w:val="32"/>
        </w:rPr>
        <w:t>429.74</w:t>
      </w:r>
      <w:r>
        <w:rPr>
          <w:rFonts w:eastAsia="方正仿宋简体"/>
          <w:sz w:val="32"/>
          <w:szCs w:val="32"/>
        </w:rPr>
        <w:t>万元，其中：基本支出</w:t>
      </w:r>
      <w:r>
        <w:rPr>
          <w:rFonts w:hint="eastAsia" w:eastAsia="仿宋_GB2312"/>
          <w:sz w:val="32"/>
          <w:szCs w:val="32"/>
        </w:rPr>
        <w:t>329.66</w:t>
      </w:r>
      <w:r>
        <w:rPr>
          <w:rFonts w:hint="eastAsia" w:ascii="仿宋_GB2312" w:hAnsi="仿宋" w:eastAsia="仿宋_GB2312"/>
          <w:sz w:val="32"/>
          <w:szCs w:val="32"/>
        </w:rPr>
        <w:t>万元</w:t>
      </w:r>
      <w:r>
        <w:rPr>
          <w:rFonts w:eastAsia="方正仿宋简体"/>
          <w:sz w:val="32"/>
          <w:szCs w:val="32"/>
        </w:rPr>
        <w:t>，占</w:t>
      </w:r>
      <w:r>
        <w:rPr>
          <w:rFonts w:hint="eastAsia" w:eastAsia="方正仿宋简体"/>
          <w:sz w:val="32"/>
          <w:szCs w:val="32"/>
        </w:rPr>
        <w:t>76.71</w:t>
      </w:r>
      <w:r>
        <w:rPr>
          <w:rFonts w:eastAsia="方正仿宋简体"/>
          <w:sz w:val="32"/>
          <w:szCs w:val="32"/>
        </w:rPr>
        <w:t>%；项目支出</w:t>
      </w:r>
      <w:r>
        <w:rPr>
          <w:rFonts w:hint="eastAsia" w:eastAsia="仿宋_GB2312"/>
          <w:sz w:val="32"/>
          <w:szCs w:val="32"/>
        </w:rPr>
        <w:t>100.08</w:t>
      </w:r>
      <w:r>
        <w:rPr>
          <w:rFonts w:eastAsia="方正仿宋简体"/>
          <w:sz w:val="32"/>
          <w:szCs w:val="32"/>
        </w:rPr>
        <w:t>万元，占</w:t>
      </w:r>
      <w:r>
        <w:rPr>
          <w:rFonts w:hint="eastAsia" w:eastAsia="仿宋_GB2312"/>
          <w:sz w:val="32"/>
          <w:szCs w:val="32"/>
        </w:rPr>
        <w:t>23.29</w:t>
      </w:r>
      <w:r>
        <w:rPr>
          <w:rFonts w:eastAsia="方正仿宋简体"/>
          <w:sz w:val="32"/>
          <w:szCs w:val="32"/>
        </w:rPr>
        <w:t>%。</w:t>
      </w:r>
    </w:p>
    <w:p w14:paraId="424A6F98">
      <w:pPr>
        <w:pStyle w:val="2"/>
        <w:spacing w:before="93"/>
        <w:rPr>
          <w:rFonts w:ascii="Times New Roman"/>
        </w:rPr>
      </w:pPr>
      <w:r>
        <w:rPr>
          <w:rFonts w:ascii="Times New Roman" w:eastAsia="仿宋"/>
          <w:b/>
          <w:sz w:val="32"/>
          <w:szCs w:val="32"/>
        </w:rPr>
        <w:drawing>
          <wp:anchor distT="0" distB="0" distL="114300" distR="114300" simplePos="0" relativeHeight="251661312" behindDoc="0" locked="0" layoutInCell="1" allowOverlap="1">
            <wp:simplePos x="0" y="0"/>
            <wp:positionH relativeFrom="page">
              <wp:align>center</wp:align>
            </wp:positionH>
            <wp:positionV relativeFrom="paragraph">
              <wp:posOffset>64770</wp:posOffset>
            </wp:positionV>
            <wp:extent cx="4733925" cy="2409825"/>
            <wp:effectExtent l="4445" t="5080" r="5080" b="4445"/>
            <wp:wrapNone/>
            <wp:docPr id="8"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99E5650">
      <w:pPr>
        <w:spacing w:line="600" w:lineRule="exact"/>
        <w:ind w:firstLine="640"/>
        <w:rPr>
          <w:rFonts w:eastAsia="仿宋"/>
          <w:b/>
          <w:sz w:val="32"/>
          <w:szCs w:val="32"/>
        </w:rPr>
      </w:pPr>
    </w:p>
    <w:p w14:paraId="3E32E7A4">
      <w:pPr>
        <w:pStyle w:val="2"/>
        <w:spacing w:before="93"/>
        <w:rPr>
          <w:rFonts w:ascii="Times New Roman"/>
        </w:rPr>
      </w:pPr>
    </w:p>
    <w:p w14:paraId="1C3B9C06">
      <w:pPr>
        <w:pStyle w:val="2"/>
        <w:spacing w:before="93"/>
        <w:rPr>
          <w:rFonts w:ascii="Times New Roman"/>
        </w:rPr>
      </w:pPr>
    </w:p>
    <w:p w14:paraId="27CBDBBE">
      <w:pPr>
        <w:pStyle w:val="2"/>
        <w:spacing w:before="93"/>
        <w:rPr>
          <w:rFonts w:ascii="Times New Roman"/>
        </w:rPr>
      </w:pPr>
    </w:p>
    <w:p w14:paraId="6DA530A3">
      <w:pPr>
        <w:pStyle w:val="2"/>
        <w:spacing w:before="93"/>
        <w:rPr>
          <w:rFonts w:ascii="Times New Roman"/>
        </w:rPr>
      </w:pPr>
    </w:p>
    <w:p w14:paraId="091988E3">
      <w:pPr>
        <w:spacing w:line="600" w:lineRule="exact"/>
        <w:ind w:firstLine="640" w:firstLineChars="200"/>
        <w:jc w:val="center"/>
        <w:rPr>
          <w:rFonts w:eastAsia="仿宋"/>
          <w:sz w:val="32"/>
          <w:szCs w:val="32"/>
        </w:rPr>
      </w:pPr>
      <w:r>
        <w:rPr>
          <w:rFonts w:eastAsia="仿宋"/>
          <w:sz w:val="32"/>
          <w:szCs w:val="32"/>
        </w:rPr>
        <w:t>图3：支出决算结构图</w:t>
      </w:r>
    </w:p>
    <w:bookmarkEnd w:id="23"/>
    <w:bookmarkEnd w:id="24"/>
    <w:p w14:paraId="1B176FDE">
      <w:pPr>
        <w:spacing w:line="600" w:lineRule="exact"/>
        <w:ind w:firstLine="640" w:firstLineChars="200"/>
        <w:outlineLvl w:val="1"/>
        <w:rPr>
          <w:rStyle w:val="13"/>
          <w:rFonts w:ascii="Times New Roman" w:hAnsi="Times New Roman" w:eastAsia="方正黑体简体" w:cs="Times New Roman"/>
          <w:b w:val="0"/>
        </w:rPr>
      </w:pPr>
      <w:bookmarkStart w:id="25" w:name="_Toc15396607"/>
      <w:bookmarkStart w:id="26" w:name="_Toc15377209"/>
      <w:r>
        <w:rPr>
          <w:rFonts w:eastAsia="方正黑体简体"/>
          <w:sz w:val="32"/>
          <w:szCs w:val="32"/>
        </w:rPr>
        <w:t>四、财</w:t>
      </w:r>
      <w:r>
        <w:rPr>
          <w:rStyle w:val="13"/>
          <w:rFonts w:ascii="Times New Roman" w:hAnsi="Times New Roman" w:eastAsia="方正黑体简体" w:cs="Times New Roman"/>
          <w:b w:val="0"/>
        </w:rPr>
        <w:t>政拨款收入支出决算总体情况说明</w:t>
      </w:r>
    </w:p>
    <w:p w14:paraId="27D6560B">
      <w:pPr>
        <w:spacing w:line="560"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年财政拨款收、支总计</w:t>
      </w:r>
      <w:r>
        <w:rPr>
          <w:rFonts w:hint="eastAsia" w:eastAsia="方正仿宋简体"/>
          <w:sz w:val="32"/>
          <w:szCs w:val="32"/>
          <w:lang w:eastAsia="zh-CN"/>
        </w:rPr>
        <w:t>均为</w:t>
      </w:r>
      <w:r>
        <w:rPr>
          <w:rFonts w:hint="eastAsia" w:eastAsia="方正仿宋简体"/>
          <w:sz w:val="32"/>
          <w:szCs w:val="32"/>
        </w:rPr>
        <w:t>429.74</w:t>
      </w:r>
      <w:r>
        <w:rPr>
          <w:rFonts w:eastAsia="方正仿宋简体"/>
          <w:sz w:val="32"/>
          <w:szCs w:val="32"/>
        </w:rPr>
        <w:t>万元。与202</w:t>
      </w:r>
      <w:r>
        <w:rPr>
          <w:rFonts w:hint="eastAsia" w:eastAsia="方正仿宋简体"/>
          <w:sz w:val="32"/>
          <w:szCs w:val="32"/>
        </w:rPr>
        <w:t>2</w:t>
      </w:r>
      <w:r>
        <w:rPr>
          <w:rFonts w:eastAsia="方正仿宋简体"/>
          <w:sz w:val="32"/>
          <w:szCs w:val="32"/>
        </w:rPr>
        <w:t>年相比，财政拨款收、支总计各增加</w:t>
      </w:r>
      <w:r>
        <w:rPr>
          <w:rFonts w:hint="eastAsia" w:eastAsia="方正仿宋简体"/>
          <w:sz w:val="32"/>
          <w:szCs w:val="32"/>
        </w:rPr>
        <w:t>92.24</w:t>
      </w:r>
      <w:r>
        <w:rPr>
          <w:rFonts w:eastAsia="方正仿宋简体"/>
          <w:sz w:val="32"/>
          <w:szCs w:val="32"/>
        </w:rPr>
        <w:t>万元，</w:t>
      </w:r>
      <w:r>
        <w:rPr>
          <w:rFonts w:eastAsia="方正仿宋简体"/>
          <w:sz w:val="32"/>
          <w:szCs w:val="32"/>
          <w:shd w:val="clear" w:color="auto" w:fill="FFFFFF"/>
        </w:rPr>
        <w:t>增长</w:t>
      </w:r>
      <w:r>
        <w:rPr>
          <w:rFonts w:hint="eastAsia" w:eastAsia="方正仿宋简体"/>
          <w:sz w:val="32"/>
          <w:szCs w:val="32"/>
          <w:shd w:val="clear" w:color="auto" w:fill="FFFFFF"/>
        </w:rPr>
        <w:t>27.33</w:t>
      </w:r>
      <w:r>
        <w:rPr>
          <w:rFonts w:eastAsia="方正仿宋简体"/>
          <w:sz w:val="32"/>
          <w:szCs w:val="32"/>
          <w:shd w:val="clear" w:color="auto" w:fill="FFFFFF"/>
        </w:rPr>
        <w:t>%。主要变动原因</w:t>
      </w:r>
      <w:r>
        <w:rPr>
          <w:rFonts w:hint="eastAsia" w:eastAsia="方正仿宋简体"/>
          <w:sz w:val="32"/>
          <w:szCs w:val="32"/>
          <w:shd w:val="clear" w:color="auto" w:fill="FFFFFF"/>
        </w:rPr>
        <w:t>是因工作需要中心2023年购置公务用车一辆34.27万元，本年新增住房补贴31.5万元及本年绩效工资人均调标上涨等原因导致</w:t>
      </w:r>
      <w:r>
        <w:rPr>
          <w:rFonts w:eastAsia="方正仿宋简体"/>
          <w:sz w:val="32"/>
          <w:szCs w:val="32"/>
          <w:shd w:val="clear" w:color="auto" w:fill="FFFFFF"/>
        </w:rPr>
        <w:t>。</w:t>
      </w:r>
    </w:p>
    <w:p w14:paraId="40643FCB">
      <w:pPr>
        <w:pStyle w:val="2"/>
        <w:spacing w:before="93"/>
        <w:ind w:firstLine="6720" w:firstLineChars="2100"/>
        <w:rPr>
          <w:rFonts w:ascii="Times New Roman" w:eastAsia="仿宋"/>
          <w:kern w:val="2"/>
          <w:sz w:val="32"/>
          <w:szCs w:val="32"/>
        </w:rPr>
      </w:pPr>
      <w:r>
        <w:rPr>
          <w:rFonts w:ascii="Times New Roman" w:eastAsia="仿宋"/>
          <w:kern w:val="2"/>
          <w:sz w:val="32"/>
          <w:szCs w:val="32"/>
        </w:rPr>
        <w:t>单位：万元</w:t>
      </w:r>
    </w:p>
    <w:p w14:paraId="2EE8EACC">
      <w:pPr>
        <w:spacing w:line="600" w:lineRule="exact"/>
        <w:ind w:firstLine="640"/>
        <w:rPr>
          <w:rFonts w:eastAsia="仿宋"/>
          <w:b/>
          <w:sz w:val="32"/>
          <w:szCs w:val="32"/>
        </w:rPr>
      </w:pPr>
      <w:r>
        <w:rPr>
          <w:rFonts w:eastAsia="仿宋"/>
          <w:b/>
          <w:sz w:val="32"/>
          <w:szCs w:val="32"/>
        </w:rPr>
        <w:drawing>
          <wp:anchor distT="0" distB="0" distL="114300" distR="114300" simplePos="0" relativeHeight="251662336" behindDoc="0" locked="0" layoutInCell="1" allowOverlap="1">
            <wp:simplePos x="0" y="0"/>
            <wp:positionH relativeFrom="page">
              <wp:align>center</wp:align>
            </wp:positionH>
            <wp:positionV relativeFrom="paragraph">
              <wp:posOffset>175260</wp:posOffset>
            </wp:positionV>
            <wp:extent cx="4779645" cy="2647950"/>
            <wp:effectExtent l="4445" t="4445" r="16510" b="14605"/>
            <wp:wrapNone/>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FD08743">
      <w:pPr>
        <w:pStyle w:val="2"/>
        <w:spacing w:before="93"/>
        <w:rPr>
          <w:rFonts w:ascii="Times New Roman"/>
        </w:rPr>
      </w:pPr>
    </w:p>
    <w:p w14:paraId="22BBAB77">
      <w:pPr>
        <w:pStyle w:val="2"/>
        <w:spacing w:before="93"/>
        <w:rPr>
          <w:rFonts w:ascii="Times New Roman"/>
        </w:rPr>
      </w:pPr>
    </w:p>
    <w:p w14:paraId="19B3FB0D">
      <w:pPr>
        <w:pStyle w:val="2"/>
        <w:spacing w:before="93"/>
        <w:rPr>
          <w:rFonts w:ascii="Times New Roman"/>
        </w:rPr>
      </w:pPr>
    </w:p>
    <w:p w14:paraId="57FDC069">
      <w:pPr>
        <w:spacing w:line="600" w:lineRule="exact"/>
        <w:rPr>
          <w:rFonts w:eastAsia="仿宋"/>
          <w:sz w:val="32"/>
          <w:szCs w:val="32"/>
        </w:rPr>
      </w:pPr>
    </w:p>
    <w:p w14:paraId="2BA12BAE">
      <w:pPr>
        <w:pStyle w:val="2"/>
        <w:spacing w:before="93"/>
        <w:rPr>
          <w:rFonts w:ascii="Times New Roman"/>
        </w:rPr>
      </w:pPr>
    </w:p>
    <w:p w14:paraId="0BEBF1FB">
      <w:pPr>
        <w:spacing w:line="600" w:lineRule="exact"/>
        <w:ind w:firstLine="640" w:firstLineChars="200"/>
        <w:rPr>
          <w:rFonts w:eastAsia="仿宋"/>
          <w:sz w:val="32"/>
          <w:szCs w:val="32"/>
        </w:rPr>
      </w:pPr>
    </w:p>
    <w:p w14:paraId="4D42417C">
      <w:pPr>
        <w:spacing w:line="600" w:lineRule="exact"/>
        <w:jc w:val="center"/>
        <w:rPr>
          <w:rFonts w:eastAsia="仿宋"/>
          <w:sz w:val="32"/>
          <w:szCs w:val="32"/>
        </w:rPr>
      </w:pPr>
      <w:r>
        <w:rPr>
          <w:rFonts w:eastAsia="仿宋"/>
          <w:sz w:val="32"/>
          <w:szCs w:val="32"/>
        </w:rPr>
        <w:t>图4：财政拨款收、支决算总计变动情况</w:t>
      </w:r>
    </w:p>
    <w:bookmarkEnd w:id="25"/>
    <w:bookmarkEnd w:id="26"/>
    <w:p w14:paraId="33B6C5E9">
      <w:pPr>
        <w:spacing w:line="600" w:lineRule="exact"/>
        <w:ind w:firstLine="640" w:firstLineChars="200"/>
        <w:outlineLvl w:val="1"/>
        <w:rPr>
          <w:rStyle w:val="13"/>
          <w:rFonts w:ascii="Times New Roman" w:hAnsi="Times New Roman" w:eastAsia="方正黑体简体" w:cs="Times New Roman"/>
          <w:b w:val="0"/>
        </w:rPr>
      </w:pPr>
      <w:bookmarkStart w:id="27" w:name="_Toc15377211"/>
      <w:r>
        <w:rPr>
          <w:rFonts w:eastAsia="方正黑体简体"/>
          <w:sz w:val="32"/>
          <w:szCs w:val="32"/>
        </w:rPr>
        <w:t>五、</w:t>
      </w:r>
      <w:r>
        <w:rPr>
          <w:rFonts w:eastAsia="方正黑体简体"/>
          <w:b/>
          <w:sz w:val="32"/>
          <w:szCs w:val="32"/>
        </w:rPr>
        <w:t>一</w:t>
      </w:r>
      <w:r>
        <w:rPr>
          <w:rStyle w:val="13"/>
          <w:rFonts w:ascii="Times New Roman" w:hAnsi="Times New Roman" w:eastAsia="方正黑体简体" w:cs="Times New Roman"/>
          <w:b w:val="0"/>
        </w:rPr>
        <w:t>般公共预算财政拨款支出决算情况说明</w:t>
      </w:r>
    </w:p>
    <w:p w14:paraId="629FFA61">
      <w:pPr>
        <w:spacing w:line="600" w:lineRule="exact"/>
        <w:ind w:firstLine="640" w:firstLineChars="200"/>
        <w:outlineLvl w:val="2"/>
        <w:rPr>
          <w:rFonts w:ascii="方正楷体简体" w:hAnsi="方正楷体简体" w:eastAsia="方正楷体简体" w:cs="方正楷体简体"/>
          <w:bCs/>
          <w:sz w:val="32"/>
          <w:szCs w:val="32"/>
        </w:rPr>
      </w:pPr>
      <w:bookmarkStart w:id="28" w:name="_Toc15377210"/>
      <w:r>
        <w:rPr>
          <w:rFonts w:hint="eastAsia" w:ascii="方正楷体简体" w:hAnsi="方正楷体简体" w:eastAsia="方正楷体简体" w:cs="方正楷体简体"/>
          <w:bCs/>
          <w:sz w:val="32"/>
          <w:szCs w:val="32"/>
        </w:rPr>
        <w:t>（一）一般公共预算财政拨款支出决算总体情况</w:t>
      </w:r>
      <w:bookmarkEnd w:id="28"/>
    </w:p>
    <w:p w14:paraId="1E1D1C1D">
      <w:pPr>
        <w:spacing w:line="560" w:lineRule="exact"/>
        <w:ind w:firstLine="640" w:firstLineChars="200"/>
        <w:rPr>
          <w:rFonts w:eastAsia="方正仿宋简体"/>
        </w:rPr>
      </w:pPr>
      <w:r>
        <w:rPr>
          <w:rFonts w:eastAsia="方正仿宋简体"/>
          <w:sz w:val="32"/>
          <w:szCs w:val="32"/>
        </w:rPr>
        <w:t>202</w:t>
      </w:r>
      <w:r>
        <w:rPr>
          <w:rFonts w:hint="eastAsia" w:eastAsia="方正仿宋简体"/>
          <w:sz w:val="32"/>
          <w:szCs w:val="32"/>
        </w:rPr>
        <w:t>3</w:t>
      </w:r>
      <w:r>
        <w:rPr>
          <w:rFonts w:eastAsia="方正仿宋简体"/>
          <w:sz w:val="32"/>
          <w:szCs w:val="32"/>
        </w:rPr>
        <w:t>年一般公共预算财政拨款支出</w:t>
      </w:r>
      <w:r>
        <w:rPr>
          <w:rFonts w:hint="eastAsia" w:eastAsia="方正仿宋简体"/>
          <w:sz w:val="32"/>
          <w:szCs w:val="32"/>
        </w:rPr>
        <w:t>429.74</w:t>
      </w:r>
      <w:r>
        <w:rPr>
          <w:rFonts w:eastAsia="方正仿宋简体"/>
          <w:sz w:val="32"/>
          <w:szCs w:val="32"/>
        </w:rPr>
        <w:t>万元，占本年支出合计的100%。与202</w:t>
      </w:r>
      <w:r>
        <w:rPr>
          <w:rFonts w:hint="eastAsia" w:eastAsia="方正仿宋简体"/>
          <w:sz w:val="32"/>
          <w:szCs w:val="32"/>
        </w:rPr>
        <w:t>2</w:t>
      </w:r>
      <w:r>
        <w:rPr>
          <w:rFonts w:eastAsia="方正仿宋简体"/>
          <w:sz w:val="32"/>
          <w:szCs w:val="32"/>
        </w:rPr>
        <w:t>年相比，一般公共预算财政拨款支出增加</w:t>
      </w:r>
      <w:r>
        <w:rPr>
          <w:rFonts w:hint="eastAsia" w:eastAsia="方正仿宋简体"/>
          <w:sz w:val="32"/>
          <w:szCs w:val="32"/>
        </w:rPr>
        <w:t>92.24</w:t>
      </w:r>
      <w:r>
        <w:rPr>
          <w:rFonts w:eastAsia="方正仿宋简体"/>
          <w:sz w:val="32"/>
          <w:szCs w:val="32"/>
        </w:rPr>
        <w:t>万元，</w:t>
      </w:r>
      <w:r>
        <w:rPr>
          <w:rFonts w:eastAsia="方正仿宋简体"/>
          <w:sz w:val="32"/>
          <w:szCs w:val="32"/>
          <w:shd w:val="clear" w:color="auto" w:fill="FFFFFF"/>
        </w:rPr>
        <w:t>增长</w:t>
      </w:r>
      <w:r>
        <w:rPr>
          <w:rFonts w:hint="eastAsia" w:eastAsia="方正仿宋简体"/>
          <w:sz w:val="32"/>
          <w:szCs w:val="32"/>
          <w:shd w:val="clear" w:color="auto" w:fill="FFFFFF"/>
        </w:rPr>
        <w:t>27.33</w:t>
      </w:r>
      <w:r>
        <w:rPr>
          <w:rFonts w:eastAsia="方正仿宋简体"/>
          <w:sz w:val="32"/>
          <w:szCs w:val="32"/>
          <w:shd w:val="clear" w:color="auto" w:fill="FFFFFF"/>
        </w:rPr>
        <w:t>%。主要变动原因</w:t>
      </w:r>
      <w:r>
        <w:rPr>
          <w:rFonts w:hint="eastAsia" w:eastAsia="方正仿宋简体"/>
          <w:sz w:val="32"/>
          <w:szCs w:val="32"/>
          <w:shd w:val="clear" w:color="auto" w:fill="FFFFFF"/>
        </w:rPr>
        <w:t>是因工作需要中心2023年购置公务用车一辆34.27万元，本年新增住房补贴31.5万元及本年绩效工资人均调标上涨等原因导致。</w:t>
      </w:r>
    </w:p>
    <w:p w14:paraId="0ABC3E30">
      <w:pPr>
        <w:pStyle w:val="2"/>
        <w:spacing w:before="93"/>
        <w:ind w:firstLine="6400" w:firstLineChars="2000"/>
        <w:rPr>
          <w:rFonts w:ascii="Times New Roman" w:eastAsia="仿宋"/>
          <w:kern w:val="2"/>
          <w:sz w:val="32"/>
          <w:szCs w:val="32"/>
        </w:rPr>
      </w:pPr>
      <w:r>
        <w:rPr>
          <w:rFonts w:ascii="Times New Roman" w:eastAsia="仿宋"/>
          <w:kern w:val="2"/>
          <w:sz w:val="32"/>
          <w:szCs w:val="32"/>
        </w:rPr>
        <w:t>单位：万元</w:t>
      </w:r>
    </w:p>
    <w:p w14:paraId="4B09993A">
      <w:pPr>
        <w:spacing w:line="600" w:lineRule="exact"/>
        <w:ind w:firstLine="640" w:firstLineChars="200"/>
        <w:rPr>
          <w:rFonts w:eastAsia="仿宋"/>
          <w:sz w:val="32"/>
          <w:szCs w:val="32"/>
        </w:rPr>
      </w:pPr>
      <w:r>
        <w:rPr>
          <w:rFonts w:eastAsia="仿宋"/>
          <w:sz w:val="32"/>
          <w:szCs w:val="32"/>
        </w:rPr>
        <w:drawing>
          <wp:anchor distT="0" distB="0" distL="114300" distR="114300" simplePos="0" relativeHeight="251663360" behindDoc="0" locked="0" layoutInCell="1" allowOverlap="1">
            <wp:simplePos x="0" y="0"/>
            <wp:positionH relativeFrom="page">
              <wp:posOffset>1390650</wp:posOffset>
            </wp:positionH>
            <wp:positionV relativeFrom="paragraph">
              <wp:posOffset>5080</wp:posOffset>
            </wp:positionV>
            <wp:extent cx="4780915" cy="2133600"/>
            <wp:effectExtent l="4445" t="4445" r="15240" b="14605"/>
            <wp:wrapNone/>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002A9A4">
      <w:pPr>
        <w:pStyle w:val="2"/>
        <w:spacing w:before="93"/>
        <w:rPr>
          <w:rFonts w:ascii="Times New Roman"/>
        </w:rPr>
      </w:pPr>
    </w:p>
    <w:p w14:paraId="4B1439A8">
      <w:pPr>
        <w:pStyle w:val="2"/>
        <w:spacing w:before="93"/>
        <w:rPr>
          <w:rFonts w:ascii="Times New Roman"/>
        </w:rPr>
      </w:pPr>
    </w:p>
    <w:p w14:paraId="78B47276">
      <w:pPr>
        <w:pStyle w:val="2"/>
        <w:spacing w:before="93"/>
        <w:rPr>
          <w:rFonts w:ascii="Times New Roman"/>
        </w:rPr>
      </w:pPr>
    </w:p>
    <w:p w14:paraId="3F5191E2">
      <w:pPr>
        <w:pStyle w:val="2"/>
        <w:spacing w:before="93"/>
        <w:rPr>
          <w:rFonts w:ascii="Times New Roman"/>
        </w:rPr>
      </w:pPr>
    </w:p>
    <w:p w14:paraId="1F10A2AD">
      <w:pPr>
        <w:spacing w:line="600" w:lineRule="exact"/>
        <w:ind w:firstLine="640" w:firstLineChars="200"/>
        <w:jc w:val="center"/>
        <w:rPr>
          <w:rFonts w:eastAsia="仿宋"/>
          <w:sz w:val="32"/>
          <w:szCs w:val="32"/>
        </w:rPr>
      </w:pPr>
      <w:r>
        <w:rPr>
          <w:rFonts w:eastAsia="仿宋"/>
          <w:sz w:val="32"/>
          <w:szCs w:val="32"/>
        </w:rPr>
        <w:t>图5：一般公共预算财政拨款支出决算变动情况</w:t>
      </w:r>
    </w:p>
    <w:bookmarkEnd w:id="27"/>
    <w:p w14:paraId="6D9304FE">
      <w:pPr>
        <w:spacing w:line="600" w:lineRule="exact"/>
        <w:ind w:firstLine="640" w:firstLineChars="200"/>
        <w:outlineLvl w:val="2"/>
        <w:rPr>
          <w:rFonts w:eastAsia="方正楷体简体"/>
          <w:bCs/>
          <w:sz w:val="32"/>
          <w:szCs w:val="32"/>
        </w:rPr>
      </w:pPr>
      <w:bookmarkStart w:id="29" w:name="_Toc15377212"/>
      <w:r>
        <w:rPr>
          <w:rFonts w:eastAsia="方正楷体简体"/>
          <w:bCs/>
          <w:sz w:val="32"/>
          <w:szCs w:val="32"/>
        </w:rPr>
        <w:t>（二）一般公共预算财政拨款支出决算结构情况</w:t>
      </w:r>
    </w:p>
    <w:p w14:paraId="0190EB94">
      <w:pPr>
        <w:spacing w:line="600" w:lineRule="exact"/>
        <w:ind w:firstLine="640"/>
      </w:pPr>
      <w:r>
        <w:rPr>
          <w:rFonts w:eastAsia="方正仿宋简体"/>
          <w:sz w:val="32"/>
          <w:szCs w:val="32"/>
        </w:rPr>
        <w:t>202</w:t>
      </w:r>
      <w:r>
        <w:rPr>
          <w:rFonts w:hint="eastAsia" w:eastAsia="方正仿宋简体"/>
          <w:sz w:val="32"/>
          <w:szCs w:val="32"/>
        </w:rPr>
        <w:t>3</w:t>
      </w:r>
      <w:r>
        <w:rPr>
          <w:rFonts w:eastAsia="方正仿宋简体"/>
          <w:sz w:val="32"/>
          <w:szCs w:val="32"/>
        </w:rPr>
        <w:t>年一般公共预算财政拨款支出</w:t>
      </w:r>
      <w:r>
        <w:rPr>
          <w:rFonts w:hint="eastAsia" w:eastAsia="方正仿宋简体"/>
          <w:sz w:val="32"/>
          <w:szCs w:val="32"/>
        </w:rPr>
        <w:t>429.74</w:t>
      </w:r>
      <w:r>
        <w:rPr>
          <w:rFonts w:eastAsia="方正仿宋简体"/>
          <w:sz w:val="32"/>
          <w:szCs w:val="32"/>
        </w:rPr>
        <w:t>万元，</w:t>
      </w:r>
      <w:r>
        <w:rPr>
          <w:rFonts w:hint="eastAsia" w:eastAsia="仿宋_GB2312"/>
          <w:sz w:val="32"/>
          <w:szCs w:val="32"/>
        </w:rPr>
        <w:t>主要用于以下几方面：教育支出2.97万元，占0.69%；社会保障和就业支出355.15万元，占82.65%；卫生健康支出22.44万元，占5.22%；住房保障支出49.18万元，占11.44</w:t>
      </w:r>
      <w:r>
        <w:rPr>
          <w:rFonts w:eastAsia="仿宋_GB2312"/>
          <w:sz w:val="32"/>
          <w:szCs w:val="32"/>
        </w:rPr>
        <w:t>%</w:t>
      </w:r>
      <w:r>
        <w:rPr>
          <w:rFonts w:hint="eastAsia" w:eastAsia="仿宋_GB2312"/>
          <w:sz w:val="32"/>
          <w:szCs w:val="32"/>
        </w:rPr>
        <w:t>。</w:t>
      </w:r>
    </w:p>
    <w:p w14:paraId="341A88AC">
      <w:pPr>
        <w:spacing w:line="600" w:lineRule="exact"/>
        <w:ind w:firstLine="640"/>
        <w:rPr>
          <w:rFonts w:eastAsia="仿宋"/>
          <w:b/>
          <w:sz w:val="32"/>
          <w:szCs w:val="32"/>
        </w:rPr>
      </w:pPr>
      <w:r>
        <w:rPr>
          <w:rFonts w:eastAsia="仿宋"/>
          <w:b/>
          <w:sz w:val="32"/>
          <w:szCs w:val="32"/>
        </w:rPr>
        <w:drawing>
          <wp:anchor distT="0" distB="0" distL="114300" distR="114300" simplePos="0" relativeHeight="251664384" behindDoc="0" locked="0" layoutInCell="1" allowOverlap="1">
            <wp:simplePos x="0" y="0"/>
            <wp:positionH relativeFrom="margin">
              <wp:posOffset>734695</wp:posOffset>
            </wp:positionH>
            <wp:positionV relativeFrom="paragraph">
              <wp:posOffset>193675</wp:posOffset>
            </wp:positionV>
            <wp:extent cx="4302760" cy="2532380"/>
            <wp:effectExtent l="6350" t="6350" r="15240" b="13970"/>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111ACA2">
      <w:pPr>
        <w:pStyle w:val="2"/>
        <w:spacing w:before="93"/>
        <w:rPr>
          <w:rFonts w:ascii="Times New Roman"/>
        </w:rPr>
      </w:pPr>
    </w:p>
    <w:p w14:paraId="13B65CC7">
      <w:pPr>
        <w:pStyle w:val="2"/>
        <w:spacing w:before="93"/>
        <w:rPr>
          <w:rFonts w:ascii="Times New Roman"/>
        </w:rPr>
      </w:pPr>
    </w:p>
    <w:p w14:paraId="5B28B228">
      <w:pPr>
        <w:pStyle w:val="2"/>
        <w:spacing w:before="93"/>
        <w:rPr>
          <w:rFonts w:ascii="Times New Roman"/>
        </w:rPr>
      </w:pPr>
    </w:p>
    <w:p w14:paraId="24E0F3CD">
      <w:pPr>
        <w:pStyle w:val="2"/>
        <w:spacing w:before="93"/>
        <w:rPr>
          <w:rFonts w:ascii="Times New Roman"/>
        </w:rPr>
      </w:pPr>
    </w:p>
    <w:p w14:paraId="2654FAB7">
      <w:pPr>
        <w:pStyle w:val="2"/>
        <w:spacing w:before="93"/>
        <w:ind w:firstLine="1280" w:firstLineChars="400"/>
        <w:jc w:val="both"/>
        <w:rPr>
          <w:rFonts w:ascii="Times New Roman" w:eastAsia="方正仿宋简体"/>
          <w:sz w:val="32"/>
          <w:szCs w:val="32"/>
        </w:rPr>
      </w:pPr>
    </w:p>
    <w:p w14:paraId="1AAE9DE4">
      <w:pPr>
        <w:pStyle w:val="2"/>
        <w:spacing w:before="93"/>
        <w:ind w:firstLine="1280" w:firstLineChars="400"/>
        <w:jc w:val="both"/>
        <w:rPr>
          <w:rFonts w:ascii="Times New Roman" w:eastAsia="方正仿宋简体"/>
        </w:rPr>
      </w:pPr>
      <w:r>
        <w:rPr>
          <w:rFonts w:ascii="Times New Roman" w:eastAsia="方正仿宋简体"/>
          <w:sz w:val="32"/>
          <w:szCs w:val="32"/>
        </w:rPr>
        <w:t>图6：一般公共预算财政拨款支出决算结构</w:t>
      </w:r>
    </w:p>
    <w:bookmarkEnd w:id="29"/>
    <w:p w14:paraId="2E3946B6">
      <w:pPr>
        <w:spacing w:line="600" w:lineRule="exact"/>
        <w:ind w:firstLine="640" w:firstLineChars="200"/>
        <w:rPr>
          <w:rFonts w:eastAsia="方正楷体简体"/>
          <w:bCs/>
          <w:sz w:val="32"/>
          <w:szCs w:val="32"/>
        </w:rPr>
      </w:pPr>
      <w:bookmarkStart w:id="30" w:name="_Toc15377214"/>
      <w:bookmarkStart w:id="31" w:name="_Toc15396608"/>
      <w:r>
        <w:rPr>
          <w:rFonts w:eastAsia="方正楷体简体"/>
          <w:bCs/>
          <w:sz w:val="32"/>
          <w:szCs w:val="32"/>
        </w:rPr>
        <w:t>（三）一般公共预算财政拨款支出决算具体情况</w:t>
      </w:r>
    </w:p>
    <w:p w14:paraId="72A1A079">
      <w:pPr>
        <w:spacing w:line="600" w:lineRule="exact"/>
        <w:ind w:firstLine="640" w:firstLineChars="200"/>
        <w:outlineLvl w:val="2"/>
        <w:rPr>
          <w:rFonts w:eastAsia="方正仿宋简体"/>
          <w:b/>
          <w:sz w:val="32"/>
          <w:szCs w:val="32"/>
        </w:rPr>
      </w:pPr>
      <w:bookmarkStart w:id="32" w:name="_Toc15377444"/>
      <w:bookmarkStart w:id="33" w:name="_Toc15378460"/>
      <w:bookmarkStart w:id="34" w:name="_Toc15377213"/>
      <w:r>
        <w:rPr>
          <w:rFonts w:eastAsia="方正仿宋简体"/>
          <w:bCs/>
          <w:sz w:val="32"/>
          <w:szCs w:val="32"/>
        </w:rPr>
        <w:t>202</w:t>
      </w:r>
      <w:r>
        <w:rPr>
          <w:rFonts w:hint="eastAsia" w:eastAsia="方正仿宋简体"/>
          <w:bCs/>
          <w:sz w:val="32"/>
          <w:szCs w:val="32"/>
        </w:rPr>
        <w:t>3</w:t>
      </w:r>
      <w:r>
        <w:rPr>
          <w:rFonts w:eastAsia="方正仿宋简体"/>
          <w:bCs/>
          <w:sz w:val="32"/>
          <w:szCs w:val="32"/>
        </w:rPr>
        <w:t>年一般公共预算支出决算数为</w:t>
      </w:r>
      <w:r>
        <w:rPr>
          <w:rFonts w:hint="eastAsia" w:eastAsia="方正仿宋简体"/>
          <w:bCs/>
          <w:sz w:val="32"/>
          <w:szCs w:val="32"/>
        </w:rPr>
        <w:t>429.74</w:t>
      </w:r>
      <w:r>
        <w:rPr>
          <w:rFonts w:eastAsia="方正仿宋简体"/>
          <w:bCs/>
          <w:sz w:val="32"/>
          <w:szCs w:val="32"/>
        </w:rPr>
        <w:t>万元，</w:t>
      </w:r>
      <w:r>
        <w:rPr>
          <w:rStyle w:val="11"/>
          <w:rFonts w:eastAsia="方正仿宋简体"/>
          <w:b w:val="0"/>
          <w:sz w:val="32"/>
          <w:szCs w:val="32"/>
        </w:rPr>
        <w:t>完成预算100%。其中：</w:t>
      </w:r>
      <w:bookmarkEnd w:id="32"/>
      <w:bookmarkEnd w:id="33"/>
      <w:bookmarkEnd w:id="34"/>
    </w:p>
    <w:p w14:paraId="10F6188B">
      <w:pPr>
        <w:spacing w:line="600" w:lineRule="exact"/>
        <w:ind w:firstLine="640" w:firstLineChars="200"/>
        <w:rPr>
          <w:rFonts w:eastAsia="方正仿宋简体"/>
          <w:b/>
          <w:bCs/>
          <w:sz w:val="32"/>
          <w:szCs w:val="32"/>
        </w:rPr>
      </w:pPr>
      <w:r>
        <w:rPr>
          <w:rStyle w:val="11"/>
          <w:rFonts w:eastAsia="方正楷体简体"/>
          <w:b w:val="0"/>
          <w:sz w:val="32"/>
          <w:szCs w:val="32"/>
        </w:rPr>
        <w:t>1．教育（类）进修及培训（款）培训支出（项）：</w:t>
      </w:r>
      <w:r>
        <w:rPr>
          <w:rStyle w:val="11"/>
          <w:rFonts w:eastAsia="方正仿宋简体"/>
          <w:b w:val="0"/>
          <w:bCs/>
          <w:sz w:val="32"/>
          <w:szCs w:val="32"/>
        </w:rPr>
        <w:t>支出决算为</w:t>
      </w:r>
      <w:r>
        <w:rPr>
          <w:rStyle w:val="11"/>
          <w:rFonts w:hint="eastAsia" w:eastAsia="方正仿宋简体"/>
          <w:b w:val="0"/>
          <w:bCs/>
          <w:sz w:val="32"/>
          <w:szCs w:val="32"/>
        </w:rPr>
        <w:t>2.97</w:t>
      </w:r>
      <w:r>
        <w:rPr>
          <w:rStyle w:val="11"/>
          <w:rFonts w:eastAsia="方正仿宋简体"/>
          <w:b w:val="0"/>
          <w:bCs/>
          <w:sz w:val="32"/>
          <w:szCs w:val="32"/>
        </w:rPr>
        <w:t>元，完成预算100%。</w:t>
      </w:r>
    </w:p>
    <w:p w14:paraId="2C6D6D0D">
      <w:pPr>
        <w:spacing w:line="600" w:lineRule="exact"/>
        <w:ind w:firstLine="640" w:firstLineChars="200"/>
        <w:rPr>
          <w:rStyle w:val="11"/>
          <w:rFonts w:eastAsia="方正仿宋简体"/>
          <w:b w:val="0"/>
          <w:bCs/>
          <w:sz w:val="32"/>
          <w:szCs w:val="32"/>
        </w:rPr>
      </w:pPr>
      <w:r>
        <w:rPr>
          <w:rStyle w:val="11"/>
          <w:rFonts w:eastAsia="方正楷体简体"/>
          <w:b w:val="0"/>
          <w:sz w:val="32"/>
          <w:szCs w:val="32"/>
        </w:rPr>
        <w:t>2．社会保障和就业（类）行政事业单位养老支出（款）事业单位离退休（项）：</w:t>
      </w:r>
      <w:r>
        <w:rPr>
          <w:rStyle w:val="11"/>
          <w:rFonts w:eastAsia="方正仿宋简体"/>
          <w:b w:val="0"/>
          <w:bCs/>
          <w:sz w:val="32"/>
          <w:szCs w:val="32"/>
        </w:rPr>
        <w:t>支出决算为</w:t>
      </w:r>
      <w:r>
        <w:rPr>
          <w:rStyle w:val="11"/>
          <w:rFonts w:hint="eastAsia" w:eastAsia="方正仿宋简体"/>
          <w:b w:val="0"/>
          <w:bCs/>
          <w:sz w:val="32"/>
          <w:szCs w:val="32"/>
        </w:rPr>
        <w:t>7.2</w:t>
      </w:r>
      <w:r>
        <w:rPr>
          <w:rStyle w:val="11"/>
          <w:rFonts w:eastAsia="方正仿宋简体"/>
          <w:b w:val="0"/>
          <w:bCs/>
          <w:sz w:val="32"/>
          <w:szCs w:val="32"/>
        </w:rPr>
        <w:t>万元，完成预算100%。</w:t>
      </w:r>
    </w:p>
    <w:p w14:paraId="219DFD34">
      <w:pPr>
        <w:spacing w:line="600" w:lineRule="exact"/>
        <w:ind w:firstLine="640" w:firstLineChars="200"/>
        <w:rPr>
          <w:rStyle w:val="11"/>
          <w:rFonts w:eastAsia="方正仿宋简体"/>
          <w:b w:val="0"/>
          <w:bCs/>
          <w:color w:val="000000"/>
          <w:sz w:val="32"/>
          <w:szCs w:val="32"/>
        </w:rPr>
      </w:pPr>
      <w:r>
        <w:rPr>
          <w:rStyle w:val="11"/>
          <w:rFonts w:eastAsia="方正楷体简体"/>
          <w:b w:val="0"/>
          <w:sz w:val="32"/>
          <w:szCs w:val="32"/>
        </w:rPr>
        <w:t>3．社会保障和就业（类）行政事业单位养老支出（款）机关事业单位基本养老保险缴费支出（项）：</w:t>
      </w:r>
      <w:r>
        <w:rPr>
          <w:rStyle w:val="11"/>
          <w:rFonts w:eastAsia="方正仿宋简体"/>
          <w:b w:val="0"/>
          <w:bCs/>
          <w:color w:val="000000"/>
          <w:sz w:val="32"/>
          <w:szCs w:val="32"/>
        </w:rPr>
        <w:t>支出决算为</w:t>
      </w:r>
      <w:r>
        <w:rPr>
          <w:rStyle w:val="11"/>
          <w:rFonts w:hint="eastAsia" w:eastAsia="方正仿宋简体"/>
          <w:b w:val="0"/>
          <w:bCs/>
          <w:color w:val="000000"/>
          <w:sz w:val="32"/>
          <w:szCs w:val="32"/>
        </w:rPr>
        <w:t>23.34</w:t>
      </w:r>
      <w:r>
        <w:rPr>
          <w:rStyle w:val="11"/>
          <w:rFonts w:eastAsia="方正仿宋简体"/>
          <w:b w:val="0"/>
          <w:bCs/>
          <w:color w:val="000000"/>
          <w:sz w:val="32"/>
          <w:szCs w:val="32"/>
        </w:rPr>
        <w:t>万元，完成预算100%。</w:t>
      </w:r>
    </w:p>
    <w:p w14:paraId="04F2CDC4">
      <w:pPr>
        <w:spacing w:line="600" w:lineRule="exact"/>
        <w:ind w:firstLine="640" w:firstLineChars="200"/>
        <w:rPr>
          <w:rFonts w:eastAsia="方正仿宋简体"/>
          <w:color w:val="000000"/>
          <w:sz w:val="32"/>
          <w:szCs w:val="32"/>
        </w:rPr>
      </w:pPr>
      <w:r>
        <w:rPr>
          <w:rStyle w:val="11"/>
          <w:rFonts w:eastAsia="方正楷体简体"/>
          <w:b w:val="0"/>
          <w:bCs/>
          <w:sz w:val="32"/>
          <w:szCs w:val="32"/>
        </w:rPr>
        <w:t>4．社会保障和就业（类）行政事业单位养老支出（款）机关事业单位职业年金缴费支出（项）：</w:t>
      </w:r>
      <w:r>
        <w:rPr>
          <w:rFonts w:eastAsia="方正仿宋简体"/>
          <w:color w:val="000000"/>
          <w:sz w:val="32"/>
          <w:szCs w:val="32"/>
        </w:rPr>
        <w:t>支出决算为</w:t>
      </w:r>
      <w:r>
        <w:rPr>
          <w:rFonts w:hint="eastAsia" w:eastAsia="方正仿宋简体"/>
          <w:color w:val="000000"/>
          <w:sz w:val="32"/>
          <w:szCs w:val="32"/>
        </w:rPr>
        <w:t>11.67</w:t>
      </w:r>
      <w:r>
        <w:rPr>
          <w:rFonts w:eastAsia="方正仿宋简体"/>
          <w:color w:val="000000"/>
          <w:sz w:val="32"/>
          <w:szCs w:val="32"/>
        </w:rPr>
        <w:t>万元，完成预算100%。</w:t>
      </w:r>
    </w:p>
    <w:p w14:paraId="6107CB42">
      <w:pPr>
        <w:spacing w:line="600" w:lineRule="exact"/>
        <w:ind w:firstLine="640" w:firstLineChars="200"/>
        <w:rPr>
          <w:rStyle w:val="11"/>
          <w:rFonts w:eastAsia="方正仿宋简体"/>
          <w:b w:val="0"/>
          <w:bCs/>
          <w:color w:val="000000"/>
          <w:sz w:val="32"/>
          <w:szCs w:val="32"/>
        </w:rPr>
      </w:pPr>
      <w:r>
        <w:rPr>
          <w:rStyle w:val="11"/>
          <w:rFonts w:eastAsia="方正楷体简体"/>
          <w:b w:val="0"/>
          <w:color w:val="000000"/>
          <w:sz w:val="32"/>
          <w:szCs w:val="32"/>
        </w:rPr>
        <w:t>5．社会保障和就业（类）退役军人管理事务（款）事业运行（项）:</w:t>
      </w:r>
      <w:r>
        <w:rPr>
          <w:rStyle w:val="11"/>
          <w:rFonts w:eastAsia="方正仿宋简体"/>
          <w:b w:val="0"/>
          <w:bCs/>
          <w:color w:val="000000"/>
          <w:sz w:val="32"/>
          <w:szCs w:val="32"/>
        </w:rPr>
        <w:t>支出决算为</w:t>
      </w:r>
      <w:r>
        <w:rPr>
          <w:rStyle w:val="11"/>
          <w:rFonts w:hint="eastAsia" w:eastAsia="方正仿宋简体"/>
          <w:b w:val="0"/>
          <w:bCs/>
          <w:color w:val="000000"/>
          <w:sz w:val="32"/>
          <w:szCs w:val="32"/>
        </w:rPr>
        <w:t>212.86</w:t>
      </w:r>
      <w:r>
        <w:rPr>
          <w:rStyle w:val="11"/>
          <w:rFonts w:eastAsia="方正仿宋简体"/>
          <w:b w:val="0"/>
          <w:bCs/>
          <w:color w:val="000000"/>
          <w:sz w:val="32"/>
          <w:szCs w:val="32"/>
        </w:rPr>
        <w:t>万元，完成预算100%。</w:t>
      </w:r>
    </w:p>
    <w:p w14:paraId="148B040A">
      <w:pPr>
        <w:spacing w:line="600" w:lineRule="exact"/>
        <w:ind w:firstLine="640" w:firstLineChars="200"/>
        <w:rPr>
          <w:rFonts w:eastAsia="方正仿宋简体"/>
          <w:b/>
          <w:bCs/>
          <w:color w:val="000000"/>
          <w:sz w:val="32"/>
          <w:szCs w:val="32"/>
        </w:rPr>
      </w:pPr>
      <w:r>
        <w:rPr>
          <w:rStyle w:val="11"/>
          <w:rFonts w:eastAsia="方正楷体简体"/>
          <w:b w:val="0"/>
          <w:color w:val="000000"/>
          <w:sz w:val="32"/>
          <w:szCs w:val="32"/>
        </w:rPr>
        <w:t>6．社会保障和就业（类）退役军人管理事务（款）其他退役军人事务管理支出（项）：</w:t>
      </w:r>
      <w:r>
        <w:rPr>
          <w:rStyle w:val="11"/>
          <w:rFonts w:eastAsia="方正仿宋简体"/>
          <w:b w:val="0"/>
          <w:bCs/>
          <w:color w:val="000000"/>
          <w:sz w:val="32"/>
          <w:szCs w:val="32"/>
        </w:rPr>
        <w:t>支出决算为</w:t>
      </w:r>
      <w:r>
        <w:rPr>
          <w:rStyle w:val="11"/>
          <w:rFonts w:hint="eastAsia" w:eastAsia="方正仿宋简体"/>
          <w:b w:val="0"/>
          <w:bCs/>
          <w:color w:val="000000"/>
          <w:sz w:val="32"/>
          <w:szCs w:val="32"/>
        </w:rPr>
        <w:t>100.08</w:t>
      </w:r>
      <w:r>
        <w:rPr>
          <w:rStyle w:val="11"/>
          <w:rFonts w:eastAsia="方正仿宋简体"/>
          <w:b w:val="0"/>
          <w:bCs/>
          <w:color w:val="000000"/>
          <w:sz w:val="32"/>
          <w:szCs w:val="32"/>
        </w:rPr>
        <w:t>万元，完成预算100%。</w:t>
      </w:r>
    </w:p>
    <w:p w14:paraId="2FB8AC3B">
      <w:pPr>
        <w:spacing w:line="600" w:lineRule="exact"/>
        <w:ind w:firstLine="640" w:firstLineChars="200"/>
        <w:rPr>
          <w:rFonts w:eastAsia="方正仿宋简体"/>
          <w:color w:val="000000"/>
          <w:sz w:val="32"/>
          <w:szCs w:val="32"/>
        </w:rPr>
      </w:pPr>
      <w:r>
        <w:rPr>
          <w:rFonts w:eastAsia="方正楷体简体"/>
          <w:bCs/>
          <w:color w:val="000000"/>
          <w:sz w:val="32"/>
          <w:szCs w:val="32"/>
        </w:rPr>
        <w:t>7．</w:t>
      </w:r>
      <w:r>
        <w:rPr>
          <w:rFonts w:eastAsia="方正楷体简体"/>
          <w:bCs/>
          <w:sz w:val="32"/>
          <w:szCs w:val="32"/>
        </w:rPr>
        <w:t>卫生健康（类）行政事业单位医疗（款）事业单位</w:t>
      </w:r>
      <w:r>
        <w:rPr>
          <w:rStyle w:val="11"/>
          <w:rFonts w:eastAsia="方正楷体简体"/>
          <w:b w:val="0"/>
          <w:color w:val="000000"/>
          <w:sz w:val="32"/>
          <w:szCs w:val="32"/>
        </w:rPr>
        <w:t>医疗（项）：</w:t>
      </w:r>
      <w:r>
        <w:rPr>
          <w:rStyle w:val="11"/>
          <w:rFonts w:eastAsia="方正仿宋简体"/>
          <w:b w:val="0"/>
          <w:bCs/>
          <w:color w:val="000000"/>
          <w:sz w:val="32"/>
          <w:szCs w:val="32"/>
        </w:rPr>
        <w:t>支出决算为</w:t>
      </w:r>
      <w:r>
        <w:rPr>
          <w:rStyle w:val="11"/>
          <w:rFonts w:hint="eastAsia" w:eastAsia="方正仿宋简体"/>
          <w:b w:val="0"/>
          <w:bCs/>
          <w:color w:val="000000"/>
          <w:sz w:val="32"/>
          <w:szCs w:val="32"/>
        </w:rPr>
        <w:t>22.44</w:t>
      </w:r>
      <w:r>
        <w:rPr>
          <w:rStyle w:val="11"/>
          <w:rFonts w:eastAsia="方正仿宋简体"/>
          <w:b w:val="0"/>
          <w:bCs/>
          <w:color w:val="000000"/>
          <w:sz w:val="32"/>
          <w:szCs w:val="32"/>
        </w:rPr>
        <w:t>万元，完成预算100%。</w:t>
      </w:r>
    </w:p>
    <w:p w14:paraId="0B8E7F9F">
      <w:pPr>
        <w:spacing w:line="600" w:lineRule="exact"/>
        <w:ind w:firstLine="640" w:firstLineChars="200"/>
        <w:rPr>
          <w:rFonts w:eastAsia="方正仿宋简体"/>
          <w:color w:val="000000"/>
          <w:sz w:val="32"/>
          <w:szCs w:val="32"/>
        </w:rPr>
      </w:pPr>
      <w:r>
        <w:rPr>
          <w:rFonts w:eastAsia="方正楷体简体"/>
          <w:bCs/>
          <w:color w:val="000000"/>
          <w:sz w:val="32"/>
          <w:szCs w:val="32"/>
        </w:rPr>
        <w:t>8．住房保障（类）住房改革支出（款）住房公积金（项）:</w:t>
      </w:r>
      <w:r>
        <w:rPr>
          <w:rFonts w:eastAsia="方正仿宋简体"/>
          <w:color w:val="000000"/>
          <w:sz w:val="32"/>
          <w:szCs w:val="32"/>
        </w:rPr>
        <w:t>支出决算为</w:t>
      </w:r>
      <w:r>
        <w:rPr>
          <w:rFonts w:hint="eastAsia" w:eastAsia="方正仿宋简体"/>
          <w:color w:val="000000"/>
          <w:sz w:val="32"/>
          <w:szCs w:val="32"/>
        </w:rPr>
        <w:t>17.68</w:t>
      </w:r>
      <w:r>
        <w:rPr>
          <w:rFonts w:eastAsia="方正仿宋简体"/>
          <w:color w:val="000000"/>
          <w:sz w:val="32"/>
          <w:szCs w:val="32"/>
        </w:rPr>
        <w:t>万元，完成预算100%。</w:t>
      </w:r>
    </w:p>
    <w:p w14:paraId="4632DEBD">
      <w:pPr>
        <w:spacing w:line="600" w:lineRule="exact"/>
        <w:ind w:firstLine="640" w:firstLineChars="200"/>
      </w:pPr>
      <w:r>
        <w:rPr>
          <w:rFonts w:hint="eastAsia" w:eastAsia="方正楷体简体"/>
          <w:bCs/>
          <w:color w:val="000000"/>
          <w:sz w:val="32"/>
          <w:szCs w:val="32"/>
        </w:rPr>
        <w:t>9</w:t>
      </w:r>
      <w:r>
        <w:rPr>
          <w:rFonts w:eastAsia="方正楷体简体"/>
          <w:bCs/>
          <w:color w:val="000000"/>
          <w:sz w:val="32"/>
          <w:szCs w:val="32"/>
        </w:rPr>
        <w:t>．住房保障（类）住房改革支出（款）</w:t>
      </w:r>
      <w:r>
        <w:rPr>
          <w:rFonts w:hint="eastAsia" w:eastAsia="方正楷体简体"/>
          <w:bCs/>
          <w:color w:val="000000"/>
          <w:sz w:val="32"/>
          <w:szCs w:val="32"/>
        </w:rPr>
        <w:t>购房补贴</w:t>
      </w:r>
      <w:r>
        <w:rPr>
          <w:rFonts w:eastAsia="方正楷体简体"/>
          <w:bCs/>
          <w:color w:val="000000"/>
          <w:sz w:val="32"/>
          <w:szCs w:val="32"/>
        </w:rPr>
        <w:t>（项）:</w:t>
      </w:r>
      <w:r>
        <w:rPr>
          <w:rFonts w:eastAsia="方正仿宋简体"/>
          <w:color w:val="000000"/>
          <w:sz w:val="32"/>
          <w:szCs w:val="32"/>
        </w:rPr>
        <w:t>支出决算为</w:t>
      </w:r>
      <w:r>
        <w:rPr>
          <w:rFonts w:hint="eastAsia" w:eastAsia="方正仿宋简体"/>
          <w:color w:val="000000"/>
          <w:sz w:val="32"/>
          <w:szCs w:val="32"/>
        </w:rPr>
        <w:t>31.5</w:t>
      </w:r>
      <w:r>
        <w:rPr>
          <w:rFonts w:eastAsia="方正仿宋简体"/>
          <w:color w:val="000000"/>
          <w:sz w:val="32"/>
          <w:szCs w:val="32"/>
        </w:rPr>
        <w:t>万元，完成预算100%。</w:t>
      </w:r>
    </w:p>
    <w:bookmarkEnd w:id="30"/>
    <w:bookmarkEnd w:id="31"/>
    <w:p w14:paraId="1A313309">
      <w:pPr>
        <w:tabs>
          <w:tab w:val="right" w:pos="8306"/>
        </w:tabs>
        <w:spacing w:line="600" w:lineRule="exact"/>
        <w:ind w:firstLine="640"/>
        <w:outlineLvl w:val="1"/>
        <w:rPr>
          <w:rStyle w:val="13"/>
          <w:rFonts w:ascii="Times New Roman" w:hAnsi="Times New Roman" w:eastAsia="方正黑体简体" w:cs="Times New Roman"/>
        </w:rPr>
      </w:pPr>
      <w:bookmarkStart w:id="35" w:name="_Toc15396609"/>
      <w:bookmarkStart w:id="36" w:name="_Toc15377215"/>
      <w:r>
        <w:rPr>
          <w:rFonts w:eastAsia="方正黑体简体"/>
          <w:sz w:val="32"/>
          <w:szCs w:val="32"/>
        </w:rPr>
        <w:t>六</w:t>
      </w:r>
      <w:r>
        <w:rPr>
          <w:rFonts w:eastAsia="方正黑体简体"/>
          <w:b/>
          <w:sz w:val="32"/>
          <w:szCs w:val="32"/>
        </w:rPr>
        <w:t>、一</w:t>
      </w:r>
      <w:r>
        <w:rPr>
          <w:rStyle w:val="13"/>
          <w:rFonts w:ascii="Times New Roman" w:hAnsi="Times New Roman" w:eastAsia="方正黑体简体" w:cs="Times New Roman"/>
          <w:b w:val="0"/>
        </w:rPr>
        <w:t>般公共预算财政拨款基本支出决算情况说明</w:t>
      </w:r>
      <w:r>
        <w:rPr>
          <w:rStyle w:val="13"/>
          <w:rFonts w:ascii="Times New Roman" w:hAnsi="Times New Roman" w:eastAsia="方正黑体简体" w:cs="Times New Roman"/>
          <w:b w:val="0"/>
        </w:rPr>
        <w:tab/>
      </w:r>
    </w:p>
    <w:p w14:paraId="14355A9B">
      <w:pPr>
        <w:spacing w:line="600" w:lineRule="exact"/>
        <w:ind w:firstLine="645"/>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年一般公共预算财政拨款基本支出</w:t>
      </w:r>
      <w:r>
        <w:rPr>
          <w:rFonts w:hint="eastAsia" w:eastAsia="方正仿宋简体"/>
          <w:sz w:val="32"/>
          <w:szCs w:val="32"/>
          <w:highlight w:val="none"/>
        </w:rPr>
        <w:t>329.66</w:t>
      </w:r>
      <w:r>
        <w:rPr>
          <w:rFonts w:eastAsia="方正仿宋简体"/>
          <w:sz w:val="32"/>
          <w:szCs w:val="32"/>
        </w:rPr>
        <w:t>万元，其中：</w:t>
      </w:r>
    </w:p>
    <w:p w14:paraId="7EDB4392">
      <w:pPr>
        <w:spacing w:line="600" w:lineRule="exact"/>
        <w:ind w:firstLine="640"/>
        <w:outlineLvl w:val="1"/>
        <w:rPr>
          <w:rFonts w:hint="eastAsia" w:eastAsia="方正仿宋简体"/>
          <w:sz w:val="32"/>
          <w:szCs w:val="32"/>
          <w:lang w:eastAsia="zh-CN"/>
        </w:rPr>
      </w:pPr>
      <w:r>
        <w:rPr>
          <w:rFonts w:eastAsia="方正仿宋简体"/>
          <w:sz w:val="32"/>
          <w:szCs w:val="32"/>
        </w:rPr>
        <w:t>人员经费</w:t>
      </w:r>
      <w:r>
        <w:rPr>
          <w:rFonts w:hint="eastAsia" w:eastAsia="方正仿宋简体"/>
          <w:sz w:val="32"/>
          <w:szCs w:val="32"/>
        </w:rPr>
        <w:t>284.15</w:t>
      </w:r>
      <w:r>
        <w:rPr>
          <w:rFonts w:eastAsia="方正仿宋简体"/>
          <w:sz w:val="32"/>
          <w:szCs w:val="32"/>
        </w:rPr>
        <w:t>万元，主要包括：基本工资、津贴补贴、绩效工资、机关事业单位基本养老保险缴费、职业年金缴费、职工基本医疗保险缴费、其他社会保障缴费、住房公积金、</w:t>
      </w:r>
      <w:r>
        <w:rPr>
          <w:rFonts w:hint="eastAsia" w:eastAsia="方正仿宋简体"/>
          <w:sz w:val="32"/>
          <w:szCs w:val="32"/>
        </w:rPr>
        <w:t>奖励金、</w:t>
      </w:r>
      <w:r>
        <w:rPr>
          <w:rFonts w:eastAsia="方正仿宋简体"/>
          <w:sz w:val="32"/>
          <w:szCs w:val="32"/>
        </w:rPr>
        <w:t>其他对个人和家庭的补助支出。</w:t>
      </w:r>
    </w:p>
    <w:p w14:paraId="351D0D61">
      <w:pPr>
        <w:spacing w:line="600" w:lineRule="exact"/>
        <w:ind w:firstLine="640"/>
        <w:outlineLvl w:val="1"/>
        <w:rPr>
          <w:rFonts w:eastAsia="方正仿宋简体"/>
          <w:sz w:val="32"/>
          <w:szCs w:val="32"/>
        </w:rPr>
      </w:pPr>
      <w:r>
        <w:rPr>
          <w:rFonts w:eastAsia="方正仿宋简体"/>
          <w:sz w:val="32"/>
          <w:szCs w:val="32"/>
        </w:rPr>
        <w:t>公用经费</w:t>
      </w:r>
      <w:r>
        <w:rPr>
          <w:rFonts w:hint="eastAsia" w:eastAsia="方正仿宋简体"/>
          <w:sz w:val="32"/>
          <w:szCs w:val="32"/>
        </w:rPr>
        <w:t>45.51</w:t>
      </w:r>
      <w:r>
        <w:rPr>
          <w:rFonts w:eastAsia="方正仿宋简体"/>
          <w:sz w:val="32"/>
          <w:szCs w:val="32"/>
        </w:rPr>
        <w:t>万元，主要包括：办公费、物业管理费、差旅费、租赁费、</w:t>
      </w:r>
      <w:r>
        <w:rPr>
          <w:rFonts w:hint="eastAsia" w:eastAsia="方正仿宋简体"/>
          <w:sz w:val="32"/>
          <w:szCs w:val="32"/>
        </w:rPr>
        <w:t>会议费、</w:t>
      </w:r>
      <w:r>
        <w:rPr>
          <w:rFonts w:eastAsia="方正仿宋简体"/>
          <w:sz w:val="32"/>
          <w:szCs w:val="32"/>
        </w:rPr>
        <w:t>培训费、</w:t>
      </w:r>
      <w:r>
        <w:rPr>
          <w:rFonts w:hint="eastAsia" w:eastAsia="方正仿宋简体"/>
          <w:sz w:val="32"/>
          <w:szCs w:val="32"/>
        </w:rPr>
        <w:t>公务接待费、</w:t>
      </w:r>
      <w:r>
        <w:rPr>
          <w:rFonts w:eastAsia="方正仿宋简体"/>
          <w:sz w:val="32"/>
          <w:szCs w:val="32"/>
        </w:rPr>
        <w:t>工会经费、福利费、公务用车运行维护费、其他商品和服务支出。</w:t>
      </w:r>
    </w:p>
    <w:bookmarkEnd w:id="35"/>
    <w:bookmarkEnd w:id="36"/>
    <w:p w14:paraId="590FD8FA">
      <w:pPr>
        <w:spacing w:line="600" w:lineRule="exact"/>
        <w:ind w:firstLine="640"/>
        <w:outlineLvl w:val="1"/>
        <w:rPr>
          <w:rStyle w:val="13"/>
          <w:rFonts w:ascii="Times New Roman" w:hAnsi="Times New Roman" w:eastAsia="方正黑体简体" w:cs="Times New Roman"/>
          <w:b w:val="0"/>
        </w:rPr>
      </w:pPr>
      <w:r>
        <w:rPr>
          <w:rFonts w:eastAsia="方正黑体简体"/>
          <w:sz w:val="32"/>
          <w:szCs w:val="32"/>
        </w:rPr>
        <w:t>七、</w:t>
      </w:r>
      <w:r>
        <w:rPr>
          <w:rStyle w:val="13"/>
          <w:rFonts w:ascii="Times New Roman" w:hAnsi="Times New Roman" w:eastAsia="方正黑体简体" w:cs="Times New Roman"/>
          <w:b w:val="0"/>
        </w:rPr>
        <w:t>财政拨款</w:t>
      </w:r>
      <w:r>
        <w:rPr>
          <w:rStyle w:val="13"/>
          <w:rFonts w:ascii="Times New Roman" w:hAnsi="Times New Roman" w:eastAsia="方正黑体简体" w:cs="Times New Roman"/>
        </w:rPr>
        <w:t>“</w:t>
      </w:r>
      <w:r>
        <w:rPr>
          <w:rStyle w:val="13"/>
          <w:rFonts w:ascii="Times New Roman" w:hAnsi="Times New Roman" w:eastAsia="方正黑体简体" w:cs="Times New Roman"/>
          <w:b w:val="0"/>
        </w:rPr>
        <w:t>三公”经费支出决算情况说明</w:t>
      </w:r>
    </w:p>
    <w:p w14:paraId="6E717750">
      <w:pPr>
        <w:spacing w:line="600" w:lineRule="exact"/>
        <w:ind w:firstLine="640"/>
        <w:outlineLvl w:val="2"/>
        <w:rPr>
          <w:rFonts w:eastAsia="方正楷体简体"/>
          <w:bCs/>
          <w:sz w:val="32"/>
          <w:szCs w:val="32"/>
        </w:rPr>
      </w:pPr>
      <w:bookmarkStart w:id="37" w:name="_Toc15377216"/>
      <w:r>
        <w:rPr>
          <w:rFonts w:eastAsia="方正楷体简体"/>
          <w:bCs/>
          <w:sz w:val="32"/>
          <w:szCs w:val="32"/>
        </w:rPr>
        <w:t>（一）“三公”经费财政拨款支出决算总体情况说明</w:t>
      </w:r>
      <w:bookmarkEnd w:id="37"/>
    </w:p>
    <w:p w14:paraId="65D69838">
      <w:pPr>
        <w:spacing w:line="600" w:lineRule="exact"/>
        <w:ind w:firstLine="640"/>
        <w:rPr>
          <w:rFonts w:hint="eastAsia" w:eastAsia="方正仿宋简体"/>
          <w:sz w:val="32"/>
          <w:szCs w:val="32"/>
          <w:lang w:val="en-US" w:eastAsia="zh-CN"/>
        </w:rPr>
      </w:pPr>
      <w:r>
        <w:rPr>
          <w:rFonts w:eastAsia="方正仿宋简体"/>
          <w:sz w:val="32"/>
          <w:szCs w:val="32"/>
        </w:rPr>
        <w:t>202</w:t>
      </w:r>
      <w:r>
        <w:rPr>
          <w:rFonts w:hint="eastAsia" w:eastAsia="方正仿宋简体"/>
          <w:sz w:val="32"/>
          <w:szCs w:val="32"/>
        </w:rPr>
        <w:t>3</w:t>
      </w:r>
      <w:r>
        <w:rPr>
          <w:rFonts w:eastAsia="方正仿宋简体"/>
          <w:sz w:val="32"/>
          <w:szCs w:val="32"/>
        </w:rPr>
        <w:t>年“三公”经费财政拨款支出决算为</w:t>
      </w:r>
      <w:r>
        <w:rPr>
          <w:rFonts w:hint="eastAsia" w:eastAsia="方正仿宋简体"/>
          <w:sz w:val="32"/>
          <w:szCs w:val="32"/>
        </w:rPr>
        <w:t>39.63</w:t>
      </w:r>
      <w:r>
        <w:rPr>
          <w:rFonts w:eastAsia="方正仿宋简体"/>
          <w:sz w:val="32"/>
          <w:szCs w:val="32"/>
        </w:rPr>
        <w:t>万元，完成预算100%，较上年增加</w:t>
      </w:r>
      <w:r>
        <w:rPr>
          <w:rFonts w:hint="eastAsia" w:eastAsia="方正仿宋简体"/>
          <w:sz w:val="32"/>
          <w:szCs w:val="32"/>
        </w:rPr>
        <w:t>36.41</w:t>
      </w:r>
      <w:r>
        <w:rPr>
          <w:rFonts w:eastAsia="方正仿宋简体"/>
          <w:sz w:val="32"/>
          <w:szCs w:val="32"/>
        </w:rPr>
        <w:t>万元，增长</w:t>
      </w:r>
      <w:r>
        <w:rPr>
          <w:rFonts w:hint="eastAsia" w:eastAsia="方正仿宋简体"/>
          <w:sz w:val="32"/>
          <w:szCs w:val="32"/>
          <w:highlight w:val="none"/>
        </w:rPr>
        <w:t>1130.7</w:t>
      </w:r>
      <w:r>
        <w:rPr>
          <w:rFonts w:hint="eastAsia" w:eastAsia="方正仿宋简体"/>
          <w:sz w:val="32"/>
          <w:szCs w:val="32"/>
          <w:highlight w:val="none"/>
          <w:lang w:val="en-US" w:eastAsia="zh-CN"/>
        </w:rPr>
        <w:t>5</w:t>
      </w:r>
      <w:r>
        <w:rPr>
          <w:rFonts w:hint="eastAsia" w:eastAsia="方正仿宋简体"/>
          <w:sz w:val="32"/>
          <w:szCs w:val="32"/>
          <w:highlight w:val="none"/>
        </w:rPr>
        <w:t>%。</w:t>
      </w:r>
      <w:r>
        <w:rPr>
          <w:rFonts w:hint="eastAsia" w:eastAsia="方正仿宋简体"/>
          <w:sz w:val="32"/>
          <w:szCs w:val="32"/>
          <w:highlight w:val="none"/>
          <w:lang w:eastAsia="zh-CN"/>
        </w:rPr>
        <w:t>决算数与预算数持平。</w:t>
      </w:r>
    </w:p>
    <w:p w14:paraId="10407C16">
      <w:pPr>
        <w:spacing w:line="600" w:lineRule="exact"/>
        <w:ind w:firstLine="640"/>
        <w:outlineLvl w:val="2"/>
        <w:rPr>
          <w:rFonts w:eastAsia="方正楷体简体"/>
          <w:bCs/>
          <w:sz w:val="32"/>
          <w:szCs w:val="32"/>
        </w:rPr>
      </w:pPr>
      <w:bookmarkStart w:id="38" w:name="_Toc15377217"/>
      <w:r>
        <w:rPr>
          <w:rFonts w:eastAsia="方正楷体简体"/>
          <w:bCs/>
          <w:sz w:val="32"/>
          <w:szCs w:val="32"/>
        </w:rPr>
        <w:t>（二）“三公”经费财政拨款支出决算具体情况说明</w:t>
      </w:r>
      <w:bookmarkEnd w:id="38"/>
    </w:p>
    <w:p w14:paraId="2791BD9C">
      <w:pPr>
        <w:spacing w:line="600" w:lineRule="exact"/>
        <w:ind w:firstLine="64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年“三公”经费财政拨款支出决算中，因公出国（境）费支出决算0万元，占0%；公务用车购置及运行维护费支出决算</w:t>
      </w:r>
      <w:r>
        <w:rPr>
          <w:rFonts w:hint="eastAsia" w:eastAsia="方正仿宋简体"/>
          <w:sz w:val="32"/>
          <w:szCs w:val="32"/>
        </w:rPr>
        <w:t>39.5</w:t>
      </w:r>
      <w:r>
        <w:rPr>
          <w:rFonts w:eastAsia="方正仿宋简体"/>
          <w:sz w:val="32"/>
          <w:szCs w:val="32"/>
        </w:rPr>
        <w:t>万元，占</w:t>
      </w:r>
      <w:r>
        <w:rPr>
          <w:rFonts w:hint="eastAsia" w:eastAsia="方正仿宋简体"/>
          <w:sz w:val="32"/>
          <w:szCs w:val="32"/>
        </w:rPr>
        <w:t>99.67</w:t>
      </w:r>
      <w:r>
        <w:rPr>
          <w:rFonts w:eastAsia="方正仿宋简体"/>
          <w:sz w:val="32"/>
          <w:szCs w:val="32"/>
        </w:rPr>
        <w:t>%；公务接待费支出决算0</w:t>
      </w:r>
      <w:r>
        <w:rPr>
          <w:rFonts w:hint="eastAsia" w:eastAsia="方正仿宋简体"/>
          <w:sz w:val="32"/>
          <w:szCs w:val="32"/>
        </w:rPr>
        <w:t>.13</w:t>
      </w:r>
      <w:r>
        <w:rPr>
          <w:rFonts w:eastAsia="方正仿宋简体"/>
          <w:sz w:val="32"/>
          <w:szCs w:val="32"/>
        </w:rPr>
        <w:t>万元，占0</w:t>
      </w:r>
      <w:r>
        <w:rPr>
          <w:rFonts w:hint="eastAsia" w:eastAsia="方正仿宋简体"/>
          <w:sz w:val="32"/>
          <w:szCs w:val="32"/>
        </w:rPr>
        <w:t>.33</w:t>
      </w:r>
      <w:r>
        <w:rPr>
          <w:rFonts w:eastAsia="方正仿宋简体"/>
          <w:sz w:val="32"/>
          <w:szCs w:val="32"/>
        </w:rPr>
        <w:t>%。具体情况如下：</w:t>
      </w:r>
    </w:p>
    <w:p w14:paraId="7374315E">
      <w:pPr>
        <w:pStyle w:val="2"/>
        <w:rPr>
          <w:rFonts w:hint="eastAsia" w:eastAsia="方正仿宋简体"/>
          <w:sz w:val="32"/>
          <w:szCs w:val="32"/>
          <w:lang w:eastAsia="zh-CN"/>
        </w:rPr>
      </w:pPr>
      <w:r>
        <w:rPr>
          <w:rFonts w:hint="eastAsia" w:eastAsia="方正仿宋简体"/>
          <w:sz w:val="32"/>
          <w:szCs w:val="32"/>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B69752">
      <w:pPr>
        <w:pStyle w:val="2"/>
        <w:rPr>
          <w:rFonts w:eastAsia="方正仿宋简体"/>
          <w:sz w:val="32"/>
          <w:szCs w:val="32"/>
        </w:rPr>
      </w:pPr>
    </w:p>
    <w:p w14:paraId="58FB52AC">
      <w:pPr>
        <w:pStyle w:val="2"/>
        <w:rPr>
          <w:rFonts w:eastAsia="方正仿宋简体"/>
          <w:sz w:val="32"/>
          <w:szCs w:val="32"/>
        </w:rPr>
      </w:pPr>
    </w:p>
    <w:p w14:paraId="4C78415D">
      <w:pPr>
        <w:pStyle w:val="2"/>
        <w:spacing w:before="93"/>
        <w:jc w:val="center"/>
        <w:rPr>
          <w:rFonts w:eastAsia="仿宋"/>
          <w:sz w:val="32"/>
          <w:szCs w:val="32"/>
        </w:rPr>
      </w:pPr>
      <w:r>
        <w:rPr>
          <w:rFonts w:eastAsia="仿宋"/>
          <w:sz w:val="32"/>
          <w:szCs w:val="32"/>
        </w:rPr>
        <w:t>图7：“三公”经费财政拨款支出结构</w:t>
      </w:r>
    </w:p>
    <w:p w14:paraId="3BC46C8F">
      <w:pPr>
        <w:spacing w:line="600" w:lineRule="exact"/>
        <w:ind w:firstLine="640"/>
        <w:rPr>
          <w:rFonts w:eastAsia="方正仿宋简体"/>
          <w:sz w:val="32"/>
          <w:szCs w:val="32"/>
        </w:rPr>
      </w:pPr>
      <w:bookmarkStart w:id="39" w:name="_Toc15396610"/>
      <w:bookmarkStart w:id="40" w:name="_Toc15377218"/>
      <w:r>
        <w:rPr>
          <w:rFonts w:eastAsia="方正楷体简体"/>
          <w:bCs/>
          <w:sz w:val="32"/>
          <w:szCs w:val="32"/>
        </w:rPr>
        <w:t>1．因公出国（境）经费支出0万元，</w:t>
      </w:r>
      <w:r>
        <w:rPr>
          <w:rFonts w:eastAsia="方正楷体简体"/>
          <w:sz w:val="32"/>
          <w:szCs w:val="32"/>
        </w:rPr>
        <w:t>完成预算0%</w:t>
      </w:r>
      <w:r>
        <w:rPr>
          <w:rFonts w:eastAsia="方正楷体简体"/>
        </w:rPr>
        <w:t>。</w:t>
      </w:r>
      <w:r>
        <w:rPr>
          <w:rFonts w:eastAsia="方正仿宋简体"/>
          <w:sz w:val="32"/>
          <w:szCs w:val="32"/>
        </w:rPr>
        <w:t>全年安排因公出国（境）团组0次，出国（境）0人。因公出国（境）支出决算与202</w:t>
      </w:r>
      <w:r>
        <w:rPr>
          <w:rFonts w:hint="eastAsia" w:eastAsia="方正仿宋简体"/>
          <w:sz w:val="32"/>
          <w:szCs w:val="32"/>
        </w:rPr>
        <w:t>2</w:t>
      </w:r>
      <w:r>
        <w:rPr>
          <w:rFonts w:eastAsia="方正仿宋简体"/>
          <w:sz w:val="32"/>
          <w:szCs w:val="32"/>
        </w:rPr>
        <w:t>年持平。</w:t>
      </w:r>
    </w:p>
    <w:p w14:paraId="1D6D9B1C">
      <w:pPr>
        <w:spacing w:line="600" w:lineRule="exact"/>
        <w:ind w:firstLine="640" w:firstLineChars="200"/>
        <w:rPr>
          <w:rFonts w:eastAsia="方正仿宋简体"/>
          <w:sz w:val="32"/>
          <w:szCs w:val="32"/>
          <w:highlight w:val="yellow"/>
        </w:rPr>
      </w:pPr>
      <w:r>
        <w:rPr>
          <w:rFonts w:eastAsia="方正楷体简体"/>
          <w:bCs/>
          <w:sz w:val="32"/>
          <w:szCs w:val="32"/>
        </w:rPr>
        <w:t>2．公务用车购置及运行维护费支出</w:t>
      </w:r>
      <w:r>
        <w:rPr>
          <w:rFonts w:hint="eastAsia" w:eastAsia="方正楷体简体"/>
          <w:bCs/>
          <w:sz w:val="32"/>
          <w:szCs w:val="32"/>
        </w:rPr>
        <w:t>39.5</w:t>
      </w:r>
      <w:r>
        <w:rPr>
          <w:rFonts w:eastAsia="方正楷体简体"/>
          <w:bCs/>
          <w:sz w:val="32"/>
          <w:szCs w:val="32"/>
        </w:rPr>
        <w:t>万元，</w:t>
      </w:r>
      <w:r>
        <w:rPr>
          <w:rStyle w:val="11"/>
          <w:rFonts w:eastAsia="方正楷体简体"/>
          <w:b w:val="0"/>
          <w:sz w:val="32"/>
          <w:szCs w:val="32"/>
        </w:rPr>
        <w:t>完成预算100%。</w:t>
      </w:r>
      <w:r>
        <w:rPr>
          <w:rFonts w:eastAsia="方正仿宋简体"/>
          <w:sz w:val="32"/>
          <w:szCs w:val="32"/>
        </w:rPr>
        <w:t>公务用车购置及运行维护费支出决算比202</w:t>
      </w:r>
      <w:r>
        <w:rPr>
          <w:rFonts w:hint="eastAsia" w:eastAsia="方正仿宋简体"/>
          <w:sz w:val="32"/>
          <w:szCs w:val="32"/>
        </w:rPr>
        <w:t>2</w:t>
      </w:r>
      <w:r>
        <w:rPr>
          <w:rFonts w:eastAsia="方正仿宋简体"/>
          <w:sz w:val="32"/>
          <w:szCs w:val="32"/>
        </w:rPr>
        <w:t>年增加</w:t>
      </w:r>
      <w:r>
        <w:rPr>
          <w:rFonts w:hint="eastAsia" w:eastAsia="方正仿宋简体"/>
          <w:sz w:val="32"/>
          <w:szCs w:val="32"/>
        </w:rPr>
        <w:t>36.28</w:t>
      </w:r>
      <w:r>
        <w:rPr>
          <w:rFonts w:eastAsia="方正仿宋简体"/>
          <w:sz w:val="32"/>
          <w:szCs w:val="32"/>
        </w:rPr>
        <w:t>万元，增长</w:t>
      </w:r>
      <w:r>
        <w:rPr>
          <w:rFonts w:hint="eastAsia" w:eastAsia="方正仿宋简体"/>
          <w:sz w:val="32"/>
          <w:szCs w:val="32"/>
          <w:highlight w:val="none"/>
        </w:rPr>
        <w:t>1126.71%</w:t>
      </w:r>
      <w:r>
        <w:rPr>
          <w:rFonts w:eastAsia="方正仿宋简体"/>
          <w:sz w:val="32"/>
          <w:szCs w:val="32"/>
          <w:highlight w:val="none"/>
        </w:rPr>
        <w:t>。</w:t>
      </w:r>
      <w:r>
        <w:rPr>
          <w:rFonts w:eastAsia="方正仿宋简体"/>
          <w:sz w:val="32"/>
          <w:szCs w:val="32"/>
        </w:rPr>
        <w:t>主要原因是省烈保中心</w:t>
      </w:r>
      <w:r>
        <w:rPr>
          <w:rFonts w:hint="eastAsia" w:eastAsia="方正仿宋简体"/>
          <w:sz w:val="32"/>
          <w:szCs w:val="32"/>
        </w:rPr>
        <w:t>因工作需要2023年购置公务用车一辆34.27万元。</w:t>
      </w:r>
    </w:p>
    <w:p w14:paraId="45979CF4">
      <w:pPr>
        <w:spacing w:line="600" w:lineRule="exact"/>
        <w:ind w:firstLine="640"/>
        <w:rPr>
          <w:rFonts w:eastAsia="方正仿宋简体"/>
          <w:sz w:val="32"/>
          <w:szCs w:val="32"/>
        </w:rPr>
      </w:pPr>
      <w:r>
        <w:rPr>
          <w:rFonts w:eastAsia="仿宋_GB2312"/>
          <w:sz w:val="32"/>
          <w:szCs w:val="32"/>
        </w:rPr>
        <w:t>其中：</w:t>
      </w:r>
      <w:r>
        <w:rPr>
          <w:rFonts w:eastAsia="方正楷体简体"/>
          <w:bCs/>
          <w:sz w:val="32"/>
          <w:szCs w:val="32"/>
        </w:rPr>
        <w:t>公</w:t>
      </w:r>
      <w:r>
        <w:rPr>
          <w:rFonts w:eastAsia="方正楷体简体"/>
          <w:bCs/>
          <w:sz w:val="32"/>
          <w:szCs w:val="32"/>
          <w:highlight w:val="none"/>
        </w:rPr>
        <w:t>务用车购置支出</w:t>
      </w:r>
      <w:r>
        <w:rPr>
          <w:rFonts w:hint="eastAsia" w:eastAsia="方正楷体简体"/>
          <w:bCs/>
          <w:sz w:val="32"/>
          <w:szCs w:val="32"/>
          <w:highlight w:val="none"/>
          <w:lang w:val="en-US" w:eastAsia="zh-CN"/>
        </w:rPr>
        <w:t>34.27</w:t>
      </w:r>
      <w:r>
        <w:rPr>
          <w:rFonts w:eastAsia="方正楷体简体"/>
          <w:bCs/>
          <w:sz w:val="32"/>
          <w:szCs w:val="32"/>
          <w:highlight w:val="none"/>
        </w:rPr>
        <w:t>万元。</w:t>
      </w:r>
      <w:r>
        <w:rPr>
          <w:rFonts w:eastAsia="方正仿宋简体"/>
          <w:sz w:val="32"/>
          <w:szCs w:val="32"/>
          <w:highlight w:val="none"/>
        </w:rPr>
        <w:t>全年按规定更新购置公务用车</w:t>
      </w:r>
      <w:r>
        <w:rPr>
          <w:rFonts w:hint="eastAsia" w:eastAsia="方正仿宋简体"/>
          <w:sz w:val="32"/>
          <w:szCs w:val="32"/>
          <w:highlight w:val="none"/>
          <w:lang w:val="en-US" w:eastAsia="zh-CN"/>
        </w:rPr>
        <w:t>1</w:t>
      </w:r>
      <w:r>
        <w:rPr>
          <w:rFonts w:eastAsia="方正仿宋简体"/>
          <w:sz w:val="32"/>
          <w:szCs w:val="32"/>
          <w:highlight w:val="none"/>
        </w:rPr>
        <w:t>辆，其中：轿车0辆、金额0万元，越野车</w:t>
      </w:r>
      <w:r>
        <w:rPr>
          <w:rFonts w:hint="eastAsia" w:eastAsia="方正仿宋简体"/>
          <w:sz w:val="32"/>
          <w:szCs w:val="32"/>
          <w:highlight w:val="none"/>
        </w:rPr>
        <w:t>1</w:t>
      </w:r>
      <w:r>
        <w:rPr>
          <w:rFonts w:eastAsia="方正仿宋简体"/>
          <w:sz w:val="32"/>
          <w:szCs w:val="32"/>
          <w:highlight w:val="none"/>
        </w:rPr>
        <w:t>辆、金额</w:t>
      </w:r>
      <w:r>
        <w:rPr>
          <w:rFonts w:hint="eastAsia" w:eastAsia="方正仿宋简体"/>
          <w:sz w:val="32"/>
          <w:szCs w:val="32"/>
          <w:highlight w:val="none"/>
          <w:lang w:val="en-US" w:eastAsia="zh-CN"/>
        </w:rPr>
        <w:t>34.27</w:t>
      </w:r>
      <w:r>
        <w:rPr>
          <w:rFonts w:eastAsia="方正仿宋简体"/>
          <w:sz w:val="32"/>
          <w:szCs w:val="32"/>
          <w:highlight w:val="none"/>
        </w:rPr>
        <w:t>万元，载客汽车0辆、金额0万元</w:t>
      </w:r>
      <w:r>
        <w:rPr>
          <w:rFonts w:hint="eastAsia" w:eastAsia="方正仿宋简体"/>
          <w:sz w:val="32"/>
          <w:szCs w:val="32"/>
          <w:highlight w:val="none"/>
          <w:lang w:eastAsia="zh-CN"/>
        </w:rPr>
        <w:t>，主要用于保障全省烈士纪念设施调研工作。</w:t>
      </w:r>
      <w:r>
        <w:rPr>
          <w:rFonts w:eastAsia="方正仿宋简体"/>
          <w:sz w:val="32"/>
          <w:szCs w:val="32"/>
          <w:highlight w:val="none"/>
        </w:rPr>
        <w:t>截至202</w:t>
      </w:r>
      <w:r>
        <w:rPr>
          <w:rFonts w:hint="eastAsia" w:eastAsia="方正仿宋简体"/>
          <w:sz w:val="32"/>
          <w:szCs w:val="32"/>
          <w:highlight w:val="none"/>
        </w:rPr>
        <w:t>3</w:t>
      </w:r>
      <w:r>
        <w:rPr>
          <w:rFonts w:eastAsia="方正仿宋简体"/>
          <w:sz w:val="32"/>
          <w:szCs w:val="32"/>
          <w:highlight w:val="none"/>
        </w:rPr>
        <w:t>年12月</w:t>
      </w:r>
      <w:r>
        <w:rPr>
          <w:rFonts w:hint="eastAsia" w:eastAsia="方正仿宋简体"/>
          <w:sz w:val="32"/>
          <w:szCs w:val="32"/>
          <w:highlight w:val="none"/>
          <w:lang w:val="en-US" w:eastAsia="zh-CN"/>
        </w:rPr>
        <w:t>31日</w:t>
      </w:r>
      <w:r>
        <w:rPr>
          <w:rFonts w:eastAsia="方正仿宋简体"/>
          <w:sz w:val="32"/>
          <w:szCs w:val="32"/>
          <w:highlight w:val="none"/>
        </w:rPr>
        <w:t>，单位共有公务</w:t>
      </w:r>
      <w:r>
        <w:rPr>
          <w:rFonts w:eastAsia="方正仿宋简体"/>
          <w:sz w:val="32"/>
          <w:szCs w:val="32"/>
        </w:rPr>
        <w:t>用车</w:t>
      </w:r>
      <w:r>
        <w:rPr>
          <w:rFonts w:hint="eastAsia" w:eastAsia="方正仿宋简体"/>
          <w:sz w:val="32"/>
          <w:szCs w:val="32"/>
        </w:rPr>
        <w:t>2</w:t>
      </w:r>
      <w:r>
        <w:rPr>
          <w:rFonts w:eastAsia="方正仿宋简体"/>
          <w:sz w:val="32"/>
          <w:szCs w:val="32"/>
        </w:rPr>
        <w:t>辆，其中：轿车1辆、越野车</w:t>
      </w:r>
      <w:r>
        <w:rPr>
          <w:rFonts w:hint="eastAsia" w:eastAsia="方正仿宋简体"/>
          <w:sz w:val="32"/>
          <w:szCs w:val="32"/>
        </w:rPr>
        <w:t>1</w:t>
      </w:r>
      <w:r>
        <w:rPr>
          <w:rFonts w:eastAsia="方正仿宋简体"/>
          <w:sz w:val="32"/>
          <w:szCs w:val="32"/>
        </w:rPr>
        <w:t>辆、载客汽车0辆。</w:t>
      </w:r>
    </w:p>
    <w:p w14:paraId="590075E5">
      <w:pPr>
        <w:spacing w:line="560" w:lineRule="exact"/>
        <w:ind w:firstLine="640"/>
        <w:rPr>
          <w:rFonts w:eastAsia="方正仿宋简体"/>
          <w:sz w:val="32"/>
          <w:szCs w:val="32"/>
        </w:rPr>
      </w:pPr>
      <w:r>
        <w:rPr>
          <w:rFonts w:eastAsia="方正楷体简体"/>
          <w:bCs/>
          <w:sz w:val="32"/>
          <w:szCs w:val="32"/>
        </w:rPr>
        <w:t>公务用车运行维护费支出</w:t>
      </w:r>
      <w:r>
        <w:rPr>
          <w:rFonts w:hint="eastAsia" w:eastAsia="方正楷体简体"/>
          <w:bCs/>
          <w:sz w:val="32"/>
          <w:szCs w:val="32"/>
        </w:rPr>
        <w:t>5.23</w:t>
      </w:r>
      <w:r>
        <w:rPr>
          <w:rFonts w:eastAsia="方正楷体简体"/>
          <w:bCs/>
          <w:sz w:val="32"/>
          <w:szCs w:val="32"/>
        </w:rPr>
        <w:t>万元。</w:t>
      </w:r>
      <w:r>
        <w:rPr>
          <w:rFonts w:eastAsia="方正仿宋简体"/>
          <w:sz w:val="32"/>
          <w:szCs w:val="32"/>
        </w:rPr>
        <w:t>主要用于全省烈士纪念设施保护工作等所需的公务用车燃料费、维修费、过路过桥费、保险费等支出。</w:t>
      </w:r>
    </w:p>
    <w:p w14:paraId="73FFC48F">
      <w:pPr>
        <w:spacing w:line="600" w:lineRule="exact"/>
        <w:ind w:firstLine="640"/>
        <w:rPr>
          <w:rFonts w:eastAsia="方正仿宋简体"/>
          <w:sz w:val="32"/>
          <w:szCs w:val="32"/>
        </w:rPr>
      </w:pPr>
      <w:r>
        <w:rPr>
          <w:rFonts w:eastAsia="方正楷体简体"/>
          <w:bCs/>
          <w:sz w:val="32"/>
          <w:szCs w:val="32"/>
        </w:rPr>
        <w:t>3．公务接待费支出</w:t>
      </w:r>
      <w:r>
        <w:rPr>
          <w:rFonts w:hint="eastAsia" w:eastAsia="方正楷体简体"/>
          <w:bCs/>
          <w:sz w:val="32"/>
          <w:szCs w:val="32"/>
        </w:rPr>
        <w:t>0.13</w:t>
      </w:r>
      <w:r>
        <w:rPr>
          <w:rFonts w:eastAsia="方正楷体简体"/>
          <w:bCs/>
          <w:sz w:val="32"/>
          <w:szCs w:val="32"/>
        </w:rPr>
        <w:t>万元，</w:t>
      </w:r>
      <w:r>
        <w:rPr>
          <w:rFonts w:eastAsia="方正楷体简体"/>
          <w:sz w:val="32"/>
          <w:szCs w:val="32"/>
        </w:rPr>
        <w:t>完成预算</w:t>
      </w:r>
      <w:r>
        <w:rPr>
          <w:rFonts w:hint="eastAsia" w:eastAsia="方正楷体简体"/>
          <w:sz w:val="32"/>
          <w:szCs w:val="32"/>
        </w:rPr>
        <w:t>100</w:t>
      </w:r>
      <w:r>
        <w:rPr>
          <w:rFonts w:eastAsia="方正楷体简体"/>
          <w:sz w:val="32"/>
          <w:szCs w:val="32"/>
        </w:rPr>
        <w:t>%。</w:t>
      </w:r>
      <w:r>
        <w:rPr>
          <w:rStyle w:val="11"/>
          <w:rFonts w:eastAsia="方正仿宋简体"/>
          <w:b w:val="0"/>
          <w:bCs/>
          <w:sz w:val="32"/>
          <w:szCs w:val="32"/>
        </w:rPr>
        <w:t>公务接待费支出</w:t>
      </w:r>
      <w:r>
        <w:rPr>
          <w:rStyle w:val="11"/>
          <w:rFonts w:hint="eastAsia" w:eastAsia="方正仿宋简体"/>
          <w:b w:val="0"/>
          <w:bCs/>
          <w:sz w:val="32"/>
          <w:szCs w:val="32"/>
        </w:rPr>
        <w:t>比2022年度增加0.13万元，增长100%，主要原因是2023年因工作需要接待上海市烈士纪念设施保护中心一行</w:t>
      </w:r>
      <w:r>
        <w:rPr>
          <w:rStyle w:val="11"/>
          <w:rFonts w:eastAsia="方正仿宋简体"/>
          <w:b w:val="0"/>
          <w:bCs/>
          <w:sz w:val="32"/>
          <w:szCs w:val="32"/>
        </w:rPr>
        <w:t>。其中：</w:t>
      </w:r>
    </w:p>
    <w:p w14:paraId="6E93F28C">
      <w:pPr>
        <w:spacing w:line="600" w:lineRule="exact"/>
        <w:ind w:firstLine="640"/>
        <w:rPr>
          <w:rStyle w:val="11"/>
          <w:rFonts w:hint="eastAsia" w:eastAsia="方正仿宋简体"/>
          <w:b w:val="0"/>
          <w:sz w:val="32"/>
          <w:szCs w:val="32"/>
          <w:highlight w:val="none"/>
          <w:lang w:eastAsia="zh-CN"/>
        </w:rPr>
      </w:pPr>
      <w:r>
        <w:rPr>
          <w:rFonts w:eastAsia="方正楷体简体"/>
          <w:bCs/>
          <w:sz w:val="32"/>
          <w:szCs w:val="32"/>
          <w:highlight w:val="none"/>
        </w:rPr>
        <w:t>国内公务接待支出</w:t>
      </w:r>
      <w:r>
        <w:rPr>
          <w:rFonts w:hint="eastAsia" w:eastAsia="方正楷体简体"/>
          <w:bCs/>
          <w:sz w:val="32"/>
          <w:szCs w:val="32"/>
          <w:highlight w:val="none"/>
        </w:rPr>
        <w:t>0.13</w:t>
      </w:r>
      <w:r>
        <w:rPr>
          <w:rFonts w:eastAsia="方正楷体简体"/>
          <w:bCs/>
          <w:sz w:val="32"/>
          <w:szCs w:val="32"/>
          <w:highlight w:val="none"/>
        </w:rPr>
        <w:t>万元。</w:t>
      </w:r>
      <w:r>
        <w:rPr>
          <w:rStyle w:val="11"/>
          <w:rFonts w:hint="eastAsia" w:eastAsia="方正仿宋简体" w:asciiTheme="minorHAnsi" w:hAnsiTheme="minorHAnsi" w:cstheme="minorBidi"/>
          <w:b w:val="0"/>
          <w:bCs/>
          <w:sz w:val="32"/>
          <w:szCs w:val="32"/>
          <w:highlight w:val="none"/>
          <w:lang w:eastAsia="zh-CN"/>
        </w:rPr>
        <w:t>主要用于</w:t>
      </w:r>
      <w:r>
        <w:rPr>
          <w:rStyle w:val="11"/>
          <w:rFonts w:hint="eastAsia" w:eastAsia="方正仿宋简体"/>
          <w:b w:val="0"/>
          <w:bCs/>
          <w:sz w:val="32"/>
          <w:szCs w:val="32"/>
          <w:highlight w:val="none"/>
        </w:rPr>
        <w:t>相关单位来</w:t>
      </w:r>
      <w:r>
        <w:rPr>
          <w:rStyle w:val="11"/>
          <w:rFonts w:hint="eastAsia" w:eastAsia="方正仿宋简体"/>
          <w:b w:val="0"/>
          <w:bCs/>
          <w:sz w:val="32"/>
          <w:szCs w:val="32"/>
          <w:highlight w:val="none"/>
          <w:lang w:eastAsia="zh-CN"/>
        </w:rPr>
        <w:t>中心</w:t>
      </w:r>
      <w:r>
        <w:rPr>
          <w:rStyle w:val="11"/>
          <w:rFonts w:hint="eastAsia" w:eastAsia="方正仿宋简体"/>
          <w:b w:val="0"/>
          <w:bCs/>
          <w:sz w:val="32"/>
          <w:szCs w:val="32"/>
          <w:highlight w:val="none"/>
        </w:rPr>
        <w:t>学习交流等活动发生的接待支出</w:t>
      </w:r>
      <w:r>
        <w:rPr>
          <w:rStyle w:val="11"/>
          <w:rFonts w:hint="eastAsia" w:eastAsia="方正仿宋简体"/>
          <w:b w:val="0"/>
          <w:bCs/>
          <w:sz w:val="32"/>
          <w:szCs w:val="32"/>
          <w:highlight w:val="none"/>
          <w:lang w:eastAsia="zh-CN"/>
        </w:rPr>
        <w:t>。</w:t>
      </w:r>
      <w:r>
        <w:rPr>
          <w:rStyle w:val="11"/>
          <w:rFonts w:eastAsia="方正仿宋简体"/>
          <w:b w:val="0"/>
          <w:sz w:val="32"/>
          <w:szCs w:val="32"/>
          <w:highlight w:val="none"/>
        </w:rPr>
        <w:t>国内公务接待</w:t>
      </w:r>
      <w:r>
        <w:rPr>
          <w:rStyle w:val="11"/>
          <w:rFonts w:hint="eastAsia" w:eastAsia="方正仿宋简体"/>
          <w:b w:val="0"/>
          <w:sz w:val="32"/>
          <w:szCs w:val="32"/>
          <w:highlight w:val="none"/>
        </w:rPr>
        <w:t>1</w:t>
      </w:r>
      <w:r>
        <w:rPr>
          <w:rStyle w:val="11"/>
          <w:rFonts w:eastAsia="方正仿宋简体"/>
          <w:b w:val="0"/>
          <w:sz w:val="32"/>
          <w:szCs w:val="32"/>
          <w:highlight w:val="none"/>
        </w:rPr>
        <w:t>批次，</w:t>
      </w:r>
      <w:r>
        <w:rPr>
          <w:rStyle w:val="11"/>
          <w:rFonts w:hint="eastAsia" w:eastAsia="方正仿宋简体"/>
          <w:b w:val="0"/>
          <w:sz w:val="32"/>
          <w:szCs w:val="32"/>
          <w:highlight w:val="none"/>
        </w:rPr>
        <w:t>9</w:t>
      </w:r>
      <w:r>
        <w:rPr>
          <w:rStyle w:val="11"/>
          <w:rFonts w:eastAsia="方正仿宋简体"/>
          <w:b w:val="0"/>
          <w:sz w:val="32"/>
          <w:szCs w:val="32"/>
          <w:highlight w:val="none"/>
        </w:rPr>
        <w:t>人次</w:t>
      </w:r>
      <w:r>
        <w:rPr>
          <w:rFonts w:eastAsia="方正仿宋简体"/>
          <w:sz w:val="32"/>
          <w:szCs w:val="32"/>
          <w:highlight w:val="none"/>
        </w:rPr>
        <w:t>（不包括陪同人员）</w:t>
      </w:r>
      <w:r>
        <w:rPr>
          <w:rStyle w:val="11"/>
          <w:rFonts w:eastAsia="方正仿宋简体"/>
          <w:b w:val="0"/>
          <w:sz w:val="32"/>
          <w:szCs w:val="32"/>
          <w:highlight w:val="none"/>
        </w:rPr>
        <w:t>，共计支出</w:t>
      </w:r>
      <w:r>
        <w:rPr>
          <w:rStyle w:val="11"/>
          <w:rFonts w:hint="eastAsia" w:eastAsia="方正仿宋简体"/>
          <w:b w:val="0"/>
          <w:sz w:val="32"/>
          <w:szCs w:val="32"/>
          <w:highlight w:val="none"/>
        </w:rPr>
        <w:t>0.13</w:t>
      </w:r>
      <w:r>
        <w:rPr>
          <w:rStyle w:val="11"/>
          <w:rFonts w:eastAsia="方正仿宋简体"/>
          <w:b w:val="0"/>
          <w:sz w:val="32"/>
          <w:szCs w:val="32"/>
          <w:highlight w:val="none"/>
        </w:rPr>
        <w:t>万元</w:t>
      </w:r>
      <w:r>
        <w:rPr>
          <w:rStyle w:val="11"/>
          <w:rFonts w:hint="eastAsia" w:eastAsia="方正仿宋简体"/>
          <w:b w:val="0"/>
          <w:sz w:val="32"/>
          <w:szCs w:val="32"/>
          <w:highlight w:val="none"/>
          <w:lang w:eastAsia="zh-CN"/>
        </w:rPr>
        <w:t>，具体内容包括：接待上海市烈士纪念设施保护中心一行来中心学习交流等。</w:t>
      </w:r>
    </w:p>
    <w:p w14:paraId="276BBB4F">
      <w:pPr>
        <w:spacing w:line="600" w:lineRule="exact"/>
        <w:ind w:firstLine="640" w:firstLineChars="200"/>
        <w:rPr>
          <w:rFonts w:eastAsia="方正仿宋简体"/>
          <w:sz w:val="32"/>
          <w:szCs w:val="32"/>
        </w:rPr>
      </w:pPr>
      <w:r>
        <w:rPr>
          <w:rFonts w:eastAsia="方正楷体简体"/>
          <w:bCs/>
          <w:sz w:val="32"/>
          <w:szCs w:val="32"/>
        </w:rPr>
        <w:t>外事接待支出0万元。</w:t>
      </w:r>
      <w:r>
        <w:rPr>
          <w:rFonts w:eastAsia="方正仿宋简体"/>
          <w:sz w:val="32"/>
          <w:szCs w:val="32"/>
        </w:rPr>
        <w:t>外事接待0批次，0人次（不包括陪同人员），共计支出0万元。</w:t>
      </w:r>
    </w:p>
    <w:bookmarkEnd w:id="39"/>
    <w:bookmarkEnd w:id="40"/>
    <w:p w14:paraId="35BF8A1B">
      <w:pPr>
        <w:spacing w:line="600" w:lineRule="exact"/>
        <w:ind w:firstLine="640"/>
        <w:outlineLvl w:val="1"/>
        <w:rPr>
          <w:rStyle w:val="13"/>
          <w:rFonts w:ascii="Times New Roman" w:hAnsi="Times New Roman" w:eastAsia="方正黑体简体" w:cs="Times New Roman"/>
        </w:rPr>
      </w:pPr>
      <w:r>
        <w:rPr>
          <w:rFonts w:eastAsia="方正黑体简体"/>
          <w:sz w:val="32"/>
          <w:szCs w:val="32"/>
        </w:rPr>
        <w:t>八、</w:t>
      </w:r>
      <w:r>
        <w:rPr>
          <w:rStyle w:val="13"/>
          <w:rFonts w:ascii="Times New Roman" w:hAnsi="Times New Roman" w:eastAsia="方正黑体简体" w:cs="Times New Roman"/>
          <w:b w:val="0"/>
        </w:rPr>
        <w:t>政府性基金预算支出决算情况说明</w:t>
      </w:r>
    </w:p>
    <w:p w14:paraId="1D636AC1">
      <w:pPr>
        <w:spacing w:line="600" w:lineRule="exact"/>
        <w:ind w:firstLine="64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年政府性基金预算财政拨款支出0万元。</w:t>
      </w:r>
    </w:p>
    <w:p w14:paraId="2C31393A">
      <w:pPr>
        <w:numPr>
          <w:ilvl w:val="0"/>
          <w:numId w:val="0"/>
        </w:numPr>
        <w:spacing w:line="600" w:lineRule="exact"/>
        <w:ind w:firstLine="640" w:firstLineChars="200"/>
        <w:outlineLvl w:val="1"/>
        <w:rPr>
          <w:rStyle w:val="13"/>
          <w:rFonts w:ascii="Times New Roman" w:hAnsi="Times New Roman" w:eastAsia="方正黑体简体" w:cs="Times New Roman"/>
          <w:b w:val="0"/>
        </w:rPr>
      </w:pPr>
      <w:bookmarkStart w:id="41" w:name="_Toc15377219"/>
      <w:bookmarkStart w:id="42" w:name="_Toc15396611"/>
      <w:bookmarkStart w:id="43" w:name="_Toc15396612"/>
      <w:bookmarkStart w:id="44" w:name="_Toc15377221"/>
      <w:r>
        <w:rPr>
          <w:rStyle w:val="13"/>
          <w:rFonts w:hint="eastAsia" w:eastAsia="方正黑体简体" w:cs="Times New Roman"/>
          <w:b w:val="0"/>
          <w:lang w:eastAsia="zh-CN"/>
        </w:rPr>
        <w:t>九、</w:t>
      </w:r>
      <w:r>
        <w:rPr>
          <w:rStyle w:val="13"/>
          <w:rFonts w:ascii="Times New Roman" w:hAnsi="Times New Roman" w:eastAsia="方正黑体简体" w:cs="Times New Roman"/>
          <w:b w:val="0"/>
        </w:rPr>
        <w:t>国有资本经营预算支出决算情况说明</w:t>
      </w:r>
      <w:bookmarkEnd w:id="41"/>
      <w:bookmarkEnd w:id="42"/>
    </w:p>
    <w:p w14:paraId="550216D5">
      <w:pPr>
        <w:spacing w:line="600" w:lineRule="exact"/>
        <w:ind w:firstLine="64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w:t>
      </w:r>
      <w:r>
        <w:rPr>
          <w:rFonts w:hint="eastAsia" w:eastAsia="方正仿宋简体"/>
          <w:sz w:val="32"/>
          <w:szCs w:val="32"/>
          <w:lang w:eastAsia="zh-CN"/>
        </w:rPr>
        <w:t>度</w:t>
      </w:r>
      <w:r>
        <w:rPr>
          <w:rFonts w:eastAsia="方正仿宋简体"/>
          <w:sz w:val="32"/>
          <w:szCs w:val="32"/>
        </w:rPr>
        <w:t>国有资本经营预算财政拨款支出0万元。</w:t>
      </w:r>
    </w:p>
    <w:bookmarkEnd w:id="43"/>
    <w:bookmarkEnd w:id="44"/>
    <w:p w14:paraId="6B471E20">
      <w:pPr>
        <w:numPr>
          <w:ilvl w:val="0"/>
          <w:numId w:val="0"/>
        </w:numPr>
        <w:spacing w:line="600" w:lineRule="exact"/>
        <w:ind w:firstLine="640" w:firstLineChars="200"/>
        <w:outlineLvl w:val="1"/>
        <w:rPr>
          <w:rStyle w:val="13"/>
          <w:rFonts w:ascii="Times New Roman" w:hAnsi="Times New Roman" w:eastAsia="方正黑体简体" w:cs="Times New Roman"/>
          <w:b w:val="0"/>
        </w:rPr>
      </w:pPr>
      <w:bookmarkStart w:id="45" w:name="_Toc15396613"/>
      <w:bookmarkStart w:id="46" w:name="_Toc15377225"/>
      <w:r>
        <w:rPr>
          <w:rStyle w:val="13"/>
          <w:rFonts w:hint="eastAsia" w:eastAsia="方正黑体简体" w:cs="Times New Roman"/>
          <w:b w:val="0"/>
          <w:lang w:eastAsia="zh-CN"/>
        </w:rPr>
        <w:t>十、</w:t>
      </w:r>
      <w:r>
        <w:rPr>
          <w:rStyle w:val="13"/>
          <w:rFonts w:ascii="Times New Roman" w:hAnsi="Times New Roman" w:eastAsia="方正黑体简体" w:cs="Times New Roman"/>
          <w:b w:val="0"/>
        </w:rPr>
        <w:t>其他重要事项的情况说明</w:t>
      </w:r>
    </w:p>
    <w:p w14:paraId="725F1DB6">
      <w:pPr>
        <w:spacing w:line="600" w:lineRule="exact"/>
        <w:ind w:firstLine="640" w:firstLineChars="200"/>
        <w:outlineLvl w:val="2"/>
        <w:rPr>
          <w:rFonts w:eastAsia="方正楷体简体"/>
          <w:bCs/>
          <w:sz w:val="32"/>
          <w:szCs w:val="32"/>
        </w:rPr>
      </w:pPr>
      <w:bookmarkStart w:id="47" w:name="_Toc15377222"/>
      <w:r>
        <w:rPr>
          <w:rFonts w:eastAsia="方正楷体简体"/>
          <w:bCs/>
          <w:sz w:val="32"/>
          <w:szCs w:val="32"/>
        </w:rPr>
        <w:t>（一）机关运行经费支出情况</w:t>
      </w:r>
      <w:bookmarkEnd w:id="47"/>
    </w:p>
    <w:p w14:paraId="145C6134">
      <w:pPr>
        <w:spacing w:line="56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sz w:val="32"/>
          <w:szCs w:val="32"/>
        </w:rPr>
        <w:t>202</w:t>
      </w:r>
      <w:r>
        <w:rPr>
          <w:rFonts w:hint="eastAsia" w:eastAsia="方正仿宋简体"/>
          <w:color w:val="000000"/>
          <w:sz w:val="32"/>
          <w:szCs w:val="32"/>
        </w:rPr>
        <w:t>3</w:t>
      </w:r>
      <w:r>
        <w:rPr>
          <w:rFonts w:eastAsia="方正仿宋简体"/>
          <w:color w:val="000000"/>
          <w:sz w:val="32"/>
          <w:szCs w:val="32"/>
        </w:rPr>
        <w:t>年，省烈保中心机关运行经费支出0万元。主要原因是省烈保中心为事业单位</w:t>
      </w:r>
      <w:r>
        <w:rPr>
          <w:rFonts w:hint="eastAsia" w:eastAsia="方正仿宋简体"/>
          <w:color w:val="000000"/>
          <w:sz w:val="32"/>
          <w:szCs w:val="32"/>
          <w:lang w:eastAsia="zh-CN"/>
        </w:rPr>
        <w:t>，</w:t>
      </w:r>
      <w:r>
        <w:rPr>
          <w:rFonts w:eastAsia="方正仿宋简体"/>
          <w:color w:val="000000"/>
          <w:sz w:val="32"/>
          <w:szCs w:val="32"/>
        </w:rPr>
        <w:t>未开支机关运行经费。</w:t>
      </w:r>
    </w:p>
    <w:p w14:paraId="3075434A">
      <w:pPr>
        <w:autoSpaceDE w:val="0"/>
        <w:autoSpaceDN w:val="0"/>
        <w:adjustRightInd w:val="0"/>
        <w:spacing w:line="600" w:lineRule="exact"/>
        <w:ind w:firstLine="640" w:firstLineChars="200"/>
        <w:jc w:val="left"/>
        <w:outlineLvl w:val="2"/>
        <w:rPr>
          <w:rFonts w:eastAsia="方正楷体简体"/>
          <w:bCs/>
          <w:sz w:val="32"/>
          <w:szCs w:val="32"/>
        </w:rPr>
      </w:pPr>
      <w:bookmarkStart w:id="48" w:name="_Toc15377223"/>
      <w:r>
        <w:rPr>
          <w:rFonts w:eastAsia="方正楷体简体"/>
          <w:bCs/>
          <w:sz w:val="32"/>
          <w:szCs w:val="32"/>
        </w:rPr>
        <w:t>（二）政府采购支出情况</w:t>
      </w:r>
      <w:bookmarkEnd w:id="48"/>
    </w:p>
    <w:p w14:paraId="523262C2">
      <w:pPr>
        <w:spacing w:line="600" w:lineRule="exact"/>
        <w:ind w:firstLine="640" w:firstLineChars="200"/>
        <w:rPr>
          <w:rFonts w:eastAsia="方正仿宋简体"/>
          <w:sz w:val="32"/>
          <w:szCs w:val="32"/>
        </w:rPr>
      </w:pPr>
      <w:r>
        <w:rPr>
          <w:rFonts w:eastAsia="方正仿宋简体"/>
          <w:sz w:val="32"/>
          <w:szCs w:val="32"/>
        </w:rPr>
        <w:t>202</w:t>
      </w:r>
      <w:r>
        <w:rPr>
          <w:rFonts w:hint="eastAsia" w:eastAsia="方正仿宋简体"/>
          <w:sz w:val="32"/>
          <w:szCs w:val="32"/>
        </w:rPr>
        <w:t>3</w:t>
      </w:r>
      <w:r>
        <w:rPr>
          <w:rFonts w:eastAsia="方正仿宋简体"/>
          <w:sz w:val="32"/>
          <w:szCs w:val="32"/>
        </w:rPr>
        <w:t>年，省烈保中心政府采购支出总额</w:t>
      </w:r>
      <w:r>
        <w:rPr>
          <w:rFonts w:hint="eastAsia" w:eastAsia="方正仿宋简体"/>
          <w:sz w:val="32"/>
          <w:szCs w:val="32"/>
        </w:rPr>
        <w:t>39.5</w:t>
      </w:r>
      <w:r>
        <w:rPr>
          <w:rFonts w:eastAsia="方正仿宋简体"/>
          <w:sz w:val="32"/>
          <w:szCs w:val="32"/>
        </w:rPr>
        <w:t>万元，其中：政府采购货物支出</w:t>
      </w:r>
      <w:r>
        <w:rPr>
          <w:rFonts w:hint="eastAsia" w:eastAsia="方正仿宋简体"/>
          <w:sz w:val="32"/>
          <w:szCs w:val="32"/>
        </w:rPr>
        <w:t>35.19</w:t>
      </w:r>
      <w:r>
        <w:rPr>
          <w:rFonts w:eastAsia="方正仿宋简体"/>
          <w:sz w:val="32"/>
          <w:szCs w:val="32"/>
        </w:rPr>
        <w:t>万元、政府采购工程支出0万元、政府采购服务支出</w:t>
      </w:r>
      <w:r>
        <w:rPr>
          <w:rFonts w:hint="eastAsia" w:eastAsia="方正仿宋简体"/>
          <w:sz w:val="32"/>
          <w:szCs w:val="32"/>
        </w:rPr>
        <w:t>4.31</w:t>
      </w:r>
      <w:r>
        <w:rPr>
          <w:rFonts w:eastAsia="方正仿宋简体"/>
          <w:sz w:val="32"/>
          <w:szCs w:val="32"/>
        </w:rPr>
        <w:t>万元。主要用于办公设备购置</w:t>
      </w:r>
      <w:r>
        <w:rPr>
          <w:rFonts w:hint="eastAsia" w:eastAsia="方正仿宋简体"/>
          <w:sz w:val="32"/>
          <w:szCs w:val="32"/>
          <w:lang w:eastAsia="zh-CN"/>
        </w:rPr>
        <w:t>、</w:t>
      </w:r>
      <w:r>
        <w:rPr>
          <w:rFonts w:eastAsia="方正仿宋简体"/>
          <w:sz w:val="32"/>
          <w:szCs w:val="32"/>
        </w:rPr>
        <w:t>公务用车</w:t>
      </w:r>
      <w:r>
        <w:rPr>
          <w:rFonts w:hint="eastAsia" w:eastAsia="方正仿宋简体"/>
          <w:sz w:val="32"/>
          <w:szCs w:val="32"/>
          <w:lang w:eastAsia="zh-CN"/>
        </w:rPr>
        <w:t>购置及</w:t>
      </w:r>
      <w:r>
        <w:rPr>
          <w:rFonts w:eastAsia="方正仿宋简体"/>
          <w:sz w:val="32"/>
          <w:szCs w:val="32"/>
        </w:rPr>
        <w:t>运行维护。授予中小企业合同金额</w:t>
      </w:r>
      <w:r>
        <w:rPr>
          <w:rFonts w:hint="eastAsia" w:eastAsia="方正仿宋简体"/>
          <w:sz w:val="32"/>
          <w:szCs w:val="32"/>
        </w:rPr>
        <w:t>0.74</w:t>
      </w:r>
      <w:r>
        <w:rPr>
          <w:rFonts w:eastAsia="方正仿宋简体"/>
          <w:sz w:val="32"/>
          <w:szCs w:val="32"/>
        </w:rPr>
        <w:t>万元，占政府采购支出总额的</w:t>
      </w:r>
      <w:r>
        <w:rPr>
          <w:rFonts w:hint="eastAsia" w:eastAsia="方正仿宋简体"/>
          <w:sz w:val="32"/>
          <w:szCs w:val="32"/>
        </w:rPr>
        <w:t>1.87</w:t>
      </w:r>
      <w:r>
        <w:rPr>
          <w:rFonts w:eastAsia="方正仿宋简体"/>
          <w:sz w:val="32"/>
          <w:szCs w:val="32"/>
        </w:rPr>
        <w:t>%，其中：授予小微企业合同金额</w:t>
      </w:r>
      <w:r>
        <w:rPr>
          <w:rFonts w:hint="eastAsia" w:eastAsia="方正仿宋简体"/>
          <w:sz w:val="32"/>
          <w:szCs w:val="32"/>
        </w:rPr>
        <w:t>0.74</w:t>
      </w:r>
      <w:r>
        <w:rPr>
          <w:rFonts w:eastAsia="方正仿宋简体"/>
          <w:sz w:val="32"/>
          <w:szCs w:val="32"/>
        </w:rPr>
        <w:t>万元，占政府采购支出总额的</w:t>
      </w:r>
      <w:r>
        <w:rPr>
          <w:rFonts w:hint="eastAsia" w:eastAsia="方正仿宋简体"/>
          <w:sz w:val="32"/>
          <w:szCs w:val="32"/>
        </w:rPr>
        <w:t>1.87</w:t>
      </w:r>
      <w:r>
        <w:rPr>
          <w:rFonts w:eastAsia="方正仿宋简体"/>
          <w:sz w:val="32"/>
          <w:szCs w:val="32"/>
        </w:rPr>
        <w:t>%。</w:t>
      </w:r>
    </w:p>
    <w:p w14:paraId="10996872">
      <w:pPr>
        <w:autoSpaceDE w:val="0"/>
        <w:autoSpaceDN w:val="0"/>
        <w:adjustRightInd w:val="0"/>
        <w:spacing w:line="600" w:lineRule="exact"/>
        <w:ind w:firstLine="640" w:firstLineChars="200"/>
        <w:jc w:val="left"/>
        <w:outlineLvl w:val="2"/>
        <w:rPr>
          <w:rFonts w:eastAsia="方正楷体简体"/>
          <w:bCs/>
          <w:sz w:val="32"/>
          <w:szCs w:val="32"/>
        </w:rPr>
      </w:pPr>
      <w:bookmarkStart w:id="49" w:name="_Toc15377224"/>
      <w:r>
        <w:rPr>
          <w:rFonts w:eastAsia="方正楷体简体"/>
          <w:bCs/>
          <w:sz w:val="32"/>
          <w:szCs w:val="32"/>
        </w:rPr>
        <w:t>（三）国有资产占有使用情况</w:t>
      </w:r>
      <w:bookmarkEnd w:id="49"/>
    </w:p>
    <w:p w14:paraId="177B4B4F">
      <w:pPr>
        <w:autoSpaceDE w:val="0"/>
        <w:autoSpaceDN w:val="0"/>
        <w:adjustRightInd w:val="0"/>
        <w:spacing w:line="600" w:lineRule="exact"/>
        <w:ind w:firstLine="640" w:firstLineChars="200"/>
        <w:jc w:val="left"/>
        <w:rPr>
          <w:rFonts w:eastAsia="方正仿宋简体"/>
          <w:sz w:val="32"/>
          <w:szCs w:val="32"/>
        </w:rPr>
      </w:pPr>
      <w:r>
        <w:rPr>
          <w:rFonts w:eastAsia="方正仿宋简体"/>
          <w:sz w:val="32"/>
          <w:szCs w:val="32"/>
        </w:rPr>
        <w:t>截至202</w:t>
      </w:r>
      <w:r>
        <w:rPr>
          <w:rFonts w:hint="eastAsia" w:eastAsia="方正仿宋简体"/>
          <w:sz w:val="32"/>
          <w:szCs w:val="32"/>
        </w:rPr>
        <w:t>3</w:t>
      </w:r>
      <w:r>
        <w:rPr>
          <w:rFonts w:eastAsia="方正仿宋简体"/>
          <w:sz w:val="32"/>
          <w:szCs w:val="32"/>
        </w:rPr>
        <w:t>年12月31日，省烈保中心共有车辆</w:t>
      </w:r>
      <w:r>
        <w:rPr>
          <w:rFonts w:hint="eastAsia" w:eastAsia="方正仿宋简体"/>
          <w:sz w:val="32"/>
          <w:szCs w:val="32"/>
        </w:rPr>
        <w:t>2</w:t>
      </w:r>
      <w:r>
        <w:rPr>
          <w:rFonts w:eastAsia="方正仿宋简体"/>
          <w:sz w:val="32"/>
          <w:szCs w:val="32"/>
        </w:rPr>
        <w:t>辆，其中：主要领导干部用车0辆、机要通信用车0辆、应急保障用车0辆、其他用车</w:t>
      </w:r>
      <w:r>
        <w:rPr>
          <w:rFonts w:hint="eastAsia" w:eastAsia="方正仿宋简体"/>
          <w:sz w:val="32"/>
          <w:szCs w:val="32"/>
        </w:rPr>
        <w:t>2</w:t>
      </w:r>
      <w:r>
        <w:rPr>
          <w:rFonts w:eastAsia="方正仿宋简体"/>
          <w:sz w:val="32"/>
          <w:szCs w:val="32"/>
        </w:rPr>
        <w:t>辆，其他用车主要是用于开展全省烈士纪念设施保护工作等车辆保障。</w:t>
      </w:r>
      <w:r>
        <w:rPr>
          <w:rFonts w:hint="eastAsia" w:eastAsia="方正仿宋简体"/>
          <w:sz w:val="32"/>
          <w:szCs w:val="32"/>
          <w:lang w:eastAsia="zh-CN"/>
        </w:rPr>
        <w:t>单价</w:t>
      </w:r>
      <w:r>
        <w:rPr>
          <w:rFonts w:hint="eastAsia" w:eastAsia="方正仿宋简体"/>
          <w:sz w:val="32"/>
          <w:szCs w:val="32"/>
          <w:lang w:val="en-US" w:eastAsia="zh-CN"/>
        </w:rPr>
        <w:t>50</w:t>
      </w:r>
      <w:r>
        <w:rPr>
          <w:rFonts w:eastAsia="方正仿宋简体"/>
          <w:sz w:val="32"/>
          <w:szCs w:val="32"/>
        </w:rPr>
        <w:t>万元以上</w:t>
      </w:r>
      <w:r>
        <w:rPr>
          <w:rFonts w:hint="eastAsia" w:eastAsia="方正仿宋简体"/>
          <w:sz w:val="32"/>
          <w:szCs w:val="32"/>
          <w:lang w:eastAsia="zh-CN"/>
        </w:rPr>
        <w:t>通用</w:t>
      </w:r>
      <w:r>
        <w:rPr>
          <w:rFonts w:eastAsia="方正仿宋简体"/>
          <w:sz w:val="32"/>
          <w:szCs w:val="32"/>
        </w:rPr>
        <w:t>设备0台（套）</w:t>
      </w:r>
      <w:r>
        <w:rPr>
          <w:rFonts w:hint="eastAsia" w:eastAsia="方正仿宋简体"/>
          <w:sz w:val="32"/>
          <w:szCs w:val="32"/>
          <w:lang w:eastAsia="zh-CN"/>
        </w:rPr>
        <w:t>，</w:t>
      </w:r>
      <w:r>
        <w:rPr>
          <w:rFonts w:eastAsia="方正仿宋简体"/>
          <w:sz w:val="32"/>
          <w:szCs w:val="32"/>
        </w:rPr>
        <w:t>单价100万元以上</w:t>
      </w:r>
      <w:r>
        <w:rPr>
          <w:rFonts w:hint="eastAsia" w:eastAsia="方正仿宋简体"/>
          <w:sz w:val="32"/>
          <w:szCs w:val="32"/>
          <w:lang w:eastAsia="zh-CN"/>
        </w:rPr>
        <w:t>专用</w:t>
      </w:r>
      <w:r>
        <w:rPr>
          <w:rFonts w:eastAsia="方正仿宋简体"/>
          <w:sz w:val="32"/>
          <w:szCs w:val="32"/>
        </w:rPr>
        <w:t>设备（不含车辆）0台（套）。</w:t>
      </w:r>
    </w:p>
    <w:p w14:paraId="66D7816B">
      <w:pPr>
        <w:numPr>
          <w:ilvl w:val="0"/>
          <w:numId w:val="3"/>
        </w:numPr>
        <w:autoSpaceDE w:val="0"/>
        <w:autoSpaceDN w:val="0"/>
        <w:adjustRightInd w:val="0"/>
        <w:spacing w:line="600" w:lineRule="exact"/>
        <w:ind w:firstLine="640" w:firstLineChars="200"/>
        <w:jc w:val="left"/>
        <w:outlineLvl w:val="2"/>
        <w:rPr>
          <w:rFonts w:eastAsia="方正楷体简体"/>
          <w:bCs/>
          <w:sz w:val="32"/>
          <w:szCs w:val="32"/>
        </w:rPr>
      </w:pPr>
      <w:r>
        <w:rPr>
          <w:rFonts w:eastAsia="方正楷体简体"/>
          <w:bCs/>
          <w:sz w:val="32"/>
          <w:szCs w:val="32"/>
        </w:rPr>
        <w:t>预算绩效管理情况</w:t>
      </w:r>
    </w:p>
    <w:p w14:paraId="6408C1FC">
      <w:pPr>
        <w:pStyle w:val="2"/>
        <w:spacing w:before="93"/>
        <w:ind w:firstLine="640" w:firstLineChars="200"/>
        <w:rPr>
          <w:rFonts w:ascii="Times New Roman" w:eastAsia="方正仿宋简体"/>
          <w:sz w:val="32"/>
          <w:szCs w:val="32"/>
        </w:rPr>
      </w:pPr>
      <w:r>
        <w:rPr>
          <w:rFonts w:ascii="Times New Roman" w:eastAsia="方正仿宋简体"/>
          <w:sz w:val="32"/>
          <w:szCs w:val="32"/>
        </w:rPr>
        <w:t>根据预算绩效管理要求，本单位在202</w:t>
      </w:r>
      <w:r>
        <w:rPr>
          <w:rFonts w:hint="eastAsia" w:ascii="Times New Roman" w:eastAsia="方正仿宋简体"/>
          <w:sz w:val="32"/>
          <w:szCs w:val="32"/>
        </w:rPr>
        <w:t>3</w:t>
      </w:r>
      <w:r>
        <w:rPr>
          <w:rFonts w:ascii="Times New Roman" w:eastAsia="方正仿宋简体"/>
          <w:sz w:val="32"/>
          <w:szCs w:val="32"/>
        </w:rPr>
        <w:t>年度预算编制阶段，组织对0个项目开展了预算事前绩效评估，对</w:t>
      </w:r>
      <w:r>
        <w:rPr>
          <w:rFonts w:hint="eastAsia" w:ascii="Times New Roman" w:eastAsia="方正仿宋简体"/>
          <w:sz w:val="32"/>
          <w:szCs w:val="32"/>
          <w:lang w:val="en-US" w:eastAsia="zh-CN"/>
        </w:rPr>
        <w:t>7</w:t>
      </w:r>
      <w:r>
        <w:rPr>
          <w:rFonts w:ascii="Times New Roman" w:eastAsia="方正仿宋简体"/>
          <w:sz w:val="32"/>
          <w:szCs w:val="32"/>
        </w:rPr>
        <w:t>个项目编制了绩效目标，预算执行过程中，选取</w:t>
      </w:r>
      <w:r>
        <w:rPr>
          <w:rFonts w:hint="eastAsia" w:ascii="Times New Roman" w:eastAsia="方正仿宋简体"/>
          <w:sz w:val="32"/>
          <w:szCs w:val="32"/>
          <w:lang w:val="en-US" w:eastAsia="zh-CN"/>
        </w:rPr>
        <w:t>7</w:t>
      </w:r>
      <w:r>
        <w:rPr>
          <w:rFonts w:ascii="Times New Roman" w:eastAsia="方正仿宋简体"/>
          <w:sz w:val="32"/>
          <w:szCs w:val="32"/>
        </w:rPr>
        <w:t>个项目开展绩效监控，组织对</w:t>
      </w:r>
      <w:r>
        <w:rPr>
          <w:rFonts w:hint="eastAsia" w:ascii="Times New Roman" w:eastAsia="方正仿宋简体"/>
          <w:sz w:val="32"/>
          <w:szCs w:val="32"/>
        </w:rPr>
        <w:t>0</w:t>
      </w:r>
      <w:r>
        <w:rPr>
          <w:rFonts w:ascii="Times New Roman" w:eastAsia="方正仿宋简体"/>
          <w:sz w:val="32"/>
          <w:szCs w:val="32"/>
        </w:rPr>
        <w:t>个项目开展绩效自评，绩效自评表详见第四部分附件。</w:t>
      </w:r>
    </w:p>
    <w:p w14:paraId="45D0E333">
      <w:pPr>
        <w:numPr>
          <w:ilvl w:val="0"/>
          <w:numId w:val="0"/>
        </w:numPr>
        <w:spacing w:line="600" w:lineRule="exact"/>
        <w:jc w:val="center"/>
        <w:outlineLvl w:val="0"/>
        <w:rPr>
          <w:rStyle w:val="12"/>
          <w:rFonts w:eastAsia="黑体"/>
          <w:b w:val="0"/>
        </w:rPr>
      </w:pPr>
      <w:r>
        <w:rPr>
          <w:rFonts w:hint="eastAsia" w:eastAsia="黑体"/>
          <w:sz w:val="44"/>
          <w:szCs w:val="44"/>
          <w:lang w:eastAsia="zh-CN"/>
        </w:rPr>
        <w:t>第三部分</w:t>
      </w:r>
      <w:r>
        <w:rPr>
          <w:rFonts w:hint="eastAsia" w:eastAsia="黑体"/>
          <w:sz w:val="44"/>
          <w:szCs w:val="44"/>
          <w:lang w:val="en-US" w:eastAsia="zh-CN"/>
        </w:rPr>
        <w:t xml:space="preserve"> </w:t>
      </w:r>
      <w:r>
        <w:rPr>
          <w:rFonts w:eastAsia="黑体"/>
          <w:sz w:val="44"/>
          <w:szCs w:val="44"/>
        </w:rPr>
        <w:t>名</w:t>
      </w:r>
      <w:r>
        <w:rPr>
          <w:rStyle w:val="12"/>
          <w:rFonts w:eastAsia="黑体"/>
          <w:b w:val="0"/>
        </w:rPr>
        <w:t>词解释</w:t>
      </w:r>
    </w:p>
    <w:p w14:paraId="5071952D">
      <w:pPr>
        <w:spacing w:line="600" w:lineRule="exact"/>
        <w:jc w:val="left"/>
        <w:rPr>
          <w:rFonts w:eastAsia="方正仿宋简体"/>
          <w:b/>
          <w:sz w:val="32"/>
          <w:szCs w:val="32"/>
        </w:rPr>
      </w:pPr>
    </w:p>
    <w:p w14:paraId="35F263B2">
      <w:pPr>
        <w:pStyle w:val="15"/>
        <w:spacing w:line="560" w:lineRule="exact"/>
        <w:ind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1．财政拨款收入：指单位从同级财政部门取得的财政预算资金。</w:t>
      </w:r>
    </w:p>
    <w:p w14:paraId="1C9CE397">
      <w:pPr>
        <w:pStyle w:val="15"/>
        <w:spacing w:line="560" w:lineRule="exact"/>
        <w:ind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2．教育（类）进修及培训（款）培训支出（项）：指</w:t>
      </w:r>
      <w:r>
        <w:rPr>
          <w:rFonts w:hint="eastAsia" w:ascii="Times New Roman" w:hAnsi="Times New Roman" w:eastAsia="方正仿宋简体" w:cs="Times New Roman"/>
          <w:color w:val="auto"/>
          <w:sz w:val="32"/>
          <w:szCs w:val="32"/>
          <w:lang w:eastAsia="zh-CN"/>
        </w:rPr>
        <w:t>事业单位</w:t>
      </w:r>
      <w:r>
        <w:rPr>
          <w:rFonts w:ascii="Times New Roman" w:hAnsi="Times New Roman" w:eastAsia="方正仿宋简体" w:cs="Times New Roman"/>
          <w:color w:val="auto"/>
          <w:sz w:val="32"/>
          <w:szCs w:val="32"/>
        </w:rPr>
        <w:t>安排的用于培训的支出。</w:t>
      </w:r>
    </w:p>
    <w:p w14:paraId="0C31F632">
      <w:pPr>
        <w:pStyle w:val="15"/>
        <w:spacing w:line="560" w:lineRule="exact"/>
        <w:ind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w:t>
      </w:r>
      <w:r>
        <w:rPr>
          <w:rFonts w:ascii="Times New Roman" w:hAnsi="Times New Roman" w:eastAsia="方正仿宋简体" w:cs="Times New Roman"/>
          <w:sz w:val="32"/>
          <w:szCs w:val="32"/>
        </w:rPr>
        <w:t>社会保障和就业（类）行政事业单位养老支出（款）事业单位离退休（项）：指事业单位开支的离退休经费。</w:t>
      </w:r>
    </w:p>
    <w:p w14:paraId="7756CDF9">
      <w:pPr>
        <w:pStyle w:val="15"/>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4．社会保障和就业（类）行政事业单位养老支出（款）机关事业单位基本养老保险缴费支出（项）:指机关事业单位实施养老制度由单位缴纳的基本养老保险费支出。</w:t>
      </w:r>
    </w:p>
    <w:p w14:paraId="6F37A5A0">
      <w:pPr>
        <w:spacing w:line="560" w:lineRule="exact"/>
        <w:ind w:firstLine="640" w:firstLineChars="200"/>
        <w:rPr>
          <w:rFonts w:eastAsia="方正仿宋简体"/>
          <w:color w:val="000000"/>
          <w:sz w:val="32"/>
          <w:szCs w:val="32"/>
        </w:rPr>
      </w:pPr>
      <w:r>
        <w:rPr>
          <w:rFonts w:eastAsia="方正仿宋简体"/>
          <w:color w:val="000000"/>
          <w:sz w:val="32"/>
          <w:szCs w:val="32"/>
        </w:rPr>
        <w:t>5．社会保障和就业（类）行政事业单位养老支出（款）机关事业单位职业年金缴费支出（项）:指机关事业单位实施养老保险制度由单位实际缴纳的职业年金支出。</w:t>
      </w:r>
    </w:p>
    <w:p w14:paraId="55C44139">
      <w:pPr>
        <w:spacing w:line="560" w:lineRule="exact"/>
        <w:ind w:firstLine="640" w:firstLineChars="200"/>
        <w:rPr>
          <w:rFonts w:eastAsia="方正仿宋简体"/>
          <w:color w:val="000000"/>
          <w:sz w:val="32"/>
          <w:szCs w:val="32"/>
        </w:rPr>
      </w:pPr>
      <w:r>
        <w:rPr>
          <w:rFonts w:eastAsia="方正仿宋简体"/>
          <w:color w:val="000000"/>
          <w:sz w:val="32"/>
          <w:szCs w:val="32"/>
        </w:rPr>
        <w:t>6．社会保障和就业（类）退役军人管理事务（款）事业单位（项）：指事业单位的基本支出。</w:t>
      </w:r>
    </w:p>
    <w:p w14:paraId="5FB2EAAD">
      <w:pPr>
        <w:pStyle w:val="2"/>
        <w:spacing w:before="93"/>
        <w:rPr>
          <w:rFonts w:ascii="Times New Roman" w:eastAsia="方正仿宋简体"/>
          <w:sz w:val="32"/>
          <w:szCs w:val="32"/>
        </w:rPr>
      </w:pPr>
      <w:r>
        <w:rPr>
          <w:rFonts w:ascii="Times New Roman" w:eastAsia="方正仿宋简体"/>
          <w:sz w:val="32"/>
          <w:szCs w:val="32"/>
        </w:rPr>
        <w:t xml:space="preserve">    7．</w:t>
      </w:r>
      <w:r>
        <w:rPr>
          <w:rFonts w:ascii="Times New Roman" w:eastAsia="方正仿宋简体"/>
          <w:color w:val="000000"/>
          <w:sz w:val="32"/>
          <w:szCs w:val="32"/>
        </w:rPr>
        <w:t>社会保障和就业（类）退役军人管理事务（款）其他退役军人事务管理支出（项）：指其他用于退役军人事务管理方面的支出。</w:t>
      </w:r>
    </w:p>
    <w:p w14:paraId="5280AD65">
      <w:pPr>
        <w:spacing w:line="560" w:lineRule="exact"/>
        <w:ind w:firstLine="640" w:firstLineChars="200"/>
        <w:rPr>
          <w:rFonts w:eastAsia="方正仿宋简体"/>
          <w:color w:val="000000"/>
          <w:sz w:val="32"/>
          <w:szCs w:val="32"/>
        </w:rPr>
      </w:pPr>
      <w:r>
        <w:rPr>
          <w:rFonts w:eastAsia="方正仿宋简体"/>
          <w:color w:val="000000"/>
          <w:sz w:val="32"/>
          <w:szCs w:val="32"/>
        </w:rPr>
        <w:t>8．卫生健康（类）行政事业单位医疗（款）事业单位医疗（项）：指财政部门安排的事业单位基本医疗保险缴费经费。</w:t>
      </w:r>
    </w:p>
    <w:p w14:paraId="448E987B">
      <w:pPr>
        <w:spacing w:line="560" w:lineRule="exact"/>
        <w:ind w:firstLine="640" w:firstLineChars="200"/>
        <w:rPr>
          <w:rFonts w:hint="eastAsia" w:eastAsia="方正仿宋简体"/>
          <w:color w:val="000000"/>
          <w:sz w:val="32"/>
          <w:szCs w:val="32"/>
        </w:rPr>
      </w:pPr>
      <w:r>
        <w:rPr>
          <w:rFonts w:eastAsia="方正仿宋简体"/>
          <w:color w:val="000000"/>
          <w:sz w:val="32"/>
          <w:szCs w:val="32"/>
        </w:rPr>
        <w:t>9．住房保障支出（类）住房改革支出（款）住房公积金（项）:指行政事业单位按人力资源和社会保障部、财政部规定的基本工资和津贴补贴以及规定比例为职工缴纳的住房公积金。</w:t>
      </w:r>
    </w:p>
    <w:p w14:paraId="33C18963">
      <w:pPr>
        <w:pStyle w:val="2"/>
        <w:spacing w:before="93"/>
        <w:rPr>
          <w:rFonts w:hint="eastAsia" w:ascii="Times New Roman" w:eastAsia="方正仿宋简体"/>
          <w:color w:val="000000"/>
          <w:kern w:val="2"/>
          <w:sz w:val="32"/>
          <w:szCs w:val="32"/>
        </w:rPr>
      </w:pPr>
      <w:r>
        <w:rPr>
          <w:rFonts w:hint="eastAsia" w:eastAsia="方正楷体简体"/>
          <w:bCs/>
          <w:color w:val="000000"/>
          <w:sz w:val="32"/>
          <w:szCs w:val="32"/>
        </w:rPr>
        <w:t xml:space="preserve">    </w:t>
      </w:r>
      <w:r>
        <w:rPr>
          <w:rFonts w:hint="eastAsia" w:ascii="Times New Roman" w:eastAsia="方正仿宋简体"/>
          <w:color w:val="000000"/>
          <w:kern w:val="2"/>
          <w:sz w:val="32"/>
          <w:szCs w:val="32"/>
        </w:rPr>
        <w:t>10.</w:t>
      </w:r>
      <w:r>
        <w:rPr>
          <w:rFonts w:ascii="Times New Roman" w:eastAsia="方正仿宋简体"/>
          <w:color w:val="000000"/>
          <w:kern w:val="2"/>
          <w:sz w:val="32"/>
          <w:szCs w:val="32"/>
        </w:rPr>
        <w:t>住房保障（类）住房改革支出（款）</w:t>
      </w:r>
      <w:r>
        <w:rPr>
          <w:rFonts w:hint="eastAsia" w:ascii="Times New Roman" w:eastAsia="方正仿宋简体"/>
          <w:color w:val="000000"/>
          <w:kern w:val="2"/>
          <w:sz w:val="32"/>
          <w:szCs w:val="32"/>
        </w:rPr>
        <w:t>购房补贴</w:t>
      </w:r>
      <w:r>
        <w:rPr>
          <w:rFonts w:ascii="Times New Roman" w:eastAsia="方正仿宋简体"/>
          <w:color w:val="000000"/>
          <w:kern w:val="2"/>
          <w:sz w:val="32"/>
          <w:szCs w:val="32"/>
        </w:rPr>
        <w:t>（项）</w:t>
      </w:r>
      <w:r>
        <w:rPr>
          <w:rFonts w:hint="eastAsia" w:ascii="Times New Roman" w:eastAsia="方正仿宋简体"/>
          <w:color w:val="000000"/>
          <w:kern w:val="2"/>
          <w:sz w:val="32"/>
          <w:szCs w:val="32"/>
        </w:rPr>
        <w:t>:指按房改政策规定，行政事业单位向符合条件职工发放的用于购买住房的补贴。</w:t>
      </w:r>
    </w:p>
    <w:p w14:paraId="0E48DCEC">
      <w:pPr>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1</w:t>
      </w:r>
      <w:r>
        <w:rPr>
          <w:rFonts w:eastAsia="方正仿宋简体"/>
          <w:sz w:val="32"/>
          <w:szCs w:val="32"/>
        </w:rPr>
        <w:t>．基本支出：指为保障机构正常运转、完成日常工作任务而发生的人员支出和公用支出。</w:t>
      </w:r>
    </w:p>
    <w:p w14:paraId="16B9D689">
      <w:pPr>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2</w:t>
      </w:r>
      <w:r>
        <w:rPr>
          <w:rFonts w:eastAsia="方正仿宋简体"/>
          <w:sz w:val="32"/>
          <w:szCs w:val="32"/>
        </w:rPr>
        <w:t>．项目支出：指在基本支出之外为完成特定行政任务和事业发展目标所发生的支出。</w:t>
      </w:r>
    </w:p>
    <w:p w14:paraId="12743354">
      <w:pPr>
        <w:pStyle w:val="15"/>
        <w:spacing w:line="560" w:lineRule="exact"/>
        <w:ind w:firstLine="640" w:firstLineChars="200"/>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rPr>
        <w:t>3</w:t>
      </w:r>
      <w:r>
        <w:rPr>
          <w:rFonts w:ascii="Times New Roman" w:hAnsi="Times New Roman" w:eastAsia="方正仿宋简体"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支出；公务接待费反映单位按规定开支的各类公务接待（含外宾接待）支出。</w:t>
      </w:r>
    </w:p>
    <w:p w14:paraId="3265C638">
      <w:pPr>
        <w:pStyle w:val="15"/>
        <w:spacing w:line="560" w:lineRule="exact"/>
        <w:ind w:firstLine="640" w:firstLineChars="200"/>
        <w:rPr>
          <w:rFonts w:ascii="Times New Roman" w:hAnsi="Times New Roman" w:eastAsia="方正仿宋简体" w:cs="Times New Roman"/>
          <w:color w:val="auto"/>
          <w:sz w:val="32"/>
          <w:szCs w:val="32"/>
        </w:rPr>
      </w:pPr>
    </w:p>
    <w:bookmarkEnd w:id="45"/>
    <w:bookmarkEnd w:id="46"/>
    <w:p w14:paraId="153A97E0">
      <w:pPr>
        <w:spacing w:line="600" w:lineRule="exact"/>
        <w:jc w:val="center"/>
        <w:outlineLvl w:val="0"/>
        <w:rPr>
          <w:rFonts w:eastAsia="黑体"/>
          <w:sz w:val="44"/>
          <w:szCs w:val="44"/>
        </w:rPr>
      </w:pPr>
      <w:bookmarkStart w:id="50" w:name="_Toc15396614"/>
      <w:bookmarkStart w:id="51" w:name="_Toc15377226"/>
    </w:p>
    <w:bookmarkEnd w:id="50"/>
    <w:p w14:paraId="29DFB375">
      <w:pPr>
        <w:spacing w:line="600" w:lineRule="exact"/>
        <w:jc w:val="center"/>
        <w:outlineLvl w:val="0"/>
        <w:rPr>
          <w:rFonts w:eastAsia="黑体"/>
          <w:sz w:val="44"/>
          <w:szCs w:val="44"/>
        </w:rPr>
      </w:pPr>
      <w:bookmarkStart w:id="52" w:name="_Toc15396618"/>
    </w:p>
    <w:p w14:paraId="4052B608">
      <w:pPr>
        <w:spacing w:line="600" w:lineRule="exact"/>
        <w:jc w:val="center"/>
        <w:outlineLvl w:val="0"/>
        <w:rPr>
          <w:rFonts w:eastAsia="黑体"/>
          <w:sz w:val="44"/>
          <w:szCs w:val="44"/>
        </w:rPr>
      </w:pPr>
    </w:p>
    <w:p w14:paraId="254528EA">
      <w:pPr>
        <w:spacing w:line="600" w:lineRule="exact"/>
        <w:jc w:val="center"/>
        <w:outlineLvl w:val="0"/>
        <w:rPr>
          <w:rFonts w:eastAsia="黑体"/>
          <w:sz w:val="44"/>
          <w:szCs w:val="44"/>
        </w:rPr>
      </w:pPr>
    </w:p>
    <w:p w14:paraId="251D6661">
      <w:pPr>
        <w:spacing w:line="600" w:lineRule="exact"/>
        <w:jc w:val="center"/>
        <w:outlineLvl w:val="0"/>
        <w:rPr>
          <w:rFonts w:eastAsia="黑体"/>
          <w:bCs/>
          <w:kern w:val="44"/>
          <w:sz w:val="44"/>
          <w:szCs w:val="44"/>
        </w:rPr>
      </w:pPr>
      <w:bookmarkStart w:id="66" w:name="_GoBack"/>
      <w:bookmarkEnd w:id="66"/>
      <w:r>
        <w:rPr>
          <w:rFonts w:eastAsia="黑体"/>
          <w:sz w:val="44"/>
          <w:szCs w:val="44"/>
        </w:rPr>
        <w:t>第</w:t>
      </w:r>
      <w:r>
        <w:rPr>
          <w:rStyle w:val="12"/>
          <w:rFonts w:eastAsia="黑体"/>
          <w:b w:val="0"/>
        </w:rPr>
        <w:t>四部分</w:t>
      </w:r>
      <w:r>
        <w:rPr>
          <w:rStyle w:val="12"/>
          <w:rFonts w:hint="eastAsia" w:eastAsia="黑体"/>
          <w:b w:val="0"/>
          <w:lang w:val="en-US" w:eastAsia="zh-CN"/>
        </w:rPr>
        <w:t xml:space="preserve"> </w:t>
      </w:r>
      <w:r>
        <w:rPr>
          <w:rStyle w:val="12"/>
          <w:rFonts w:eastAsia="黑体"/>
          <w:b w:val="0"/>
        </w:rPr>
        <w:t>附件</w:t>
      </w:r>
    </w:p>
    <w:tbl>
      <w:tblPr>
        <w:tblStyle w:val="9"/>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14:paraId="6E5284F1">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5C9ADC32">
            <w:pPr>
              <w:spacing w:line="600" w:lineRule="exact"/>
              <w:jc w:val="center"/>
              <w:outlineLvl w:val="0"/>
              <w:rPr>
                <w:rFonts w:ascii="宋体" w:hAnsi="宋体" w:cs="宋体"/>
                <w:kern w:val="0"/>
                <w:sz w:val="32"/>
                <w:szCs w:val="32"/>
              </w:rPr>
            </w:pPr>
            <w:r>
              <w:rPr>
                <w:rFonts w:hint="eastAsia" w:ascii="宋体" w:hAnsi="宋体" w:cs="宋体"/>
                <w:kern w:val="0"/>
                <w:sz w:val="32"/>
                <w:szCs w:val="32"/>
              </w:rPr>
              <w:t>部门预算项目支出绩效自评表（2023年度）</w:t>
            </w:r>
          </w:p>
        </w:tc>
        <w:tc>
          <w:tcPr>
            <w:tcW w:w="234" w:type="dxa"/>
            <w:tcBorders>
              <w:top w:val="nil"/>
              <w:left w:val="nil"/>
              <w:bottom w:val="nil"/>
              <w:right w:val="nil"/>
            </w:tcBorders>
            <w:shd w:val="clear" w:color="auto" w:fill="auto"/>
            <w:vAlign w:val="center"/>
          </w:tcPr>
          <w:p w14:paraId="0D83EF5B">
            <w:pPr>
              <w:widowControl/>
              <w:jc w:val="center"/>
              <w:textAlignment w:val="center"/>
              <w:rPr>
                <w:b/>
                <w:kern w:val="0"/>
                <w:sz w:val="32"/>
                <w:szCs w:val="32"/>
              </w:rPr>
            </w:pPr>
          </w:p>
        </w:tc>
      </w:tr>
      <w:tr w14:paraId="6EA7A0DD">
        <w:tblPrEx>
          <w:tblCellMar>
            <w:top w:w="0" w:type="dxa"/>
            <w:left w:w="108" w:type="dxa"/>
            <w:bottom w:w="0" w:type="dxa"/>
            <w:right w:w="108" w:type="dxa"/>
          </w:tblCellMar>
        </w:tblPrEx>
        <w:trPr>
          <w:gridAfter w:val="1"/>
          <w:wAfter w:w="234" w:type="dxa"/>
          <w:trHeight w:val="448"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7B27E">
            <w:pPr>
              <w:widowControl/>
              <w:spacing w:line="320" w:lineRule="exact"/>
              <w:jc w:val="center"/>
              <w:textAlignment w:val="center"/>
              <w:rPr>
                <w:rFonts w:eastAsia="方正仿宋简体"/>
                <w:sz w:val="24"/>
              </w:rPr>
            </w:pPr>
            <w:r>
              <w:rPr>
                <w:rFonts w:eastAsia="方正仿宋简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AC20A">
            <w:pPr>
              <w:widowControl/>
              <w:spacing w:line="320" w:lineRule="exact"/>
              <w:textAlignment w:val="center"/>
              <w:rPr>
                <w:rFonts w:eastAsia="方正仿宋简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3EF8">
            <w:pPr>
              <w:widowControl/>
              <w:spacing w:line="320" w:lineRule="exact"/>
              <w:jc w:val="center"/>
              <w:textAlignment w:val="center"/>
              <w:rPr>
                <w:rFonts w:eastAsia="方正仿宋简体"/>
                <w:sz w:val="24"/>
              </w:rPr>
            </w:pPr>
            <w:r>
              <w:rPr>
                <w:rFonts w:eastAsia="方正仿宋简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7B3B">
            <w:pPr>
              <w:widowControl/>
              <w:spacing w:line="320" w:lineRule="exact"/>
              <w:jc w:val="center"/>
              <w:textAlignment w:val="center"/>
              <w:rPr>
                <w:rFonts w:eastAsia="方正仿宋简体"/>
                <w:sz w:val="24"/>
              </w:rPr>
            </w:pPr>
          </w:p>
        </w:tc>
      </w:tr>
      <w:tr w14:paraId="1D052AB5">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20596">
            <w:pPr>
              <w:widowControl/>
              <w:spacing w:line="320" w:lineRule="exact"/>
              <w:jc w:val="center"/>
              <w:textAlignment w:val="center"/>
              <w:rPr>
                <w:rFonts w:hint="eastAsia" w:eastAsia="方正仿宋简体"/>
                <w:kern w:val="0"/>
                <w:sz w:val="24"/>
                <w:lang w:eastAsia="zh-CN"/>
              </w:rPr>
            </w:pPr>
            <w:r>
              <w:rPr>
                <w:rFonts w:eastAsia="方正仿宋简体"/>
                <w:kern w:val="0"/>
                <w:sz w:val="24"/>
              </w:rPr>
              <w:t>项目预算</w:t>
            </w:r>
          </w:p>
          <w:p w14:paraId="02BFC972">
            <w:pPr>
              <w:widowControl/>
              <w:spacing w:line="320" w:lineRule="exact"/>
              <w:jc w:val="center"/>
              <w:textAlignment w:val="center"/>
              <w:rPr>
                <w:rFonts w:hint="eastAsia" w:eastAsia="方正仿宋简体"/>
                <w:kern w:val="0"/>
                <w:sz w:val="24"/>
                <w:lang w:eastAsia="zh-CN"/>
              </w:rPr>
            </w:pPr>
            <w:r>
              <w:rPr>
                <w:rFonts w:eastAsia="方正仿宋简体"/>
                <w:kern w:val="0"/>
                <w:sz w:val="24"/>
              </w:rPr>
              <w:t>执行情况</w:t>
            </w:r>
          </w:p>
          <w:p w14:paraId="470E6F9E">
            <w:pPr>
              <w:widowControl/>
              <w:spacing w:line="320" w:lineRule="exact"/>
              <w:jc w:val="center"/>
              <w:textAlignment w:val="center"/>
              <w:rPr>
                <w:rFonts w:eastAsia="方正仿宋简体"/>
                <w:sz w:val="24"/>
              </w:rPr>
            </w:pPr>
            <w:r>
              <w:rPr>
                <w:rFonts w:eastAsia="方正仿宋简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21AF">
            <w:pPr>
              <w:widowControl/>
              <w:spacing w:line="320" w:lineRule="exact"/>
              <w:jc w:val="left"/>
              <w:textAlignment w:val="center"/>
              <w:rPr>
                <w:rFonts w:eastAsia="方正仿宋简体"/>
                <w:sz w:val="24"/>
              </w:rPr>
            </w:pPr>
            <w:r>
              <w:rPr>
                <w:rFonts w:eastAsia="方正仿宋简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971A">
            <w:pPr>
              <w:widowControl/>
              <w:spacing w:line="320" w:lineRule="exact"/>
              <w:jc w:val="left"/>
              <w:textAlignment w:val="center"/>
              <w:rPr>
                <w:rFonts w:eastAsia="方正仿宋简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76FA">
            <w:pPr>
              <w:widowControl/>
              <w:spacing w:line="320" w:lineRule="exact"/>
              <w:jc w:val="left"/>
              <w:textAlignment w:val="center"/>
              <w:rPr>
                <w:rFonts w:eastAsia="方正仿宋简体"/>
                <w:sz w:val="24"/>
              </w:rPr>
            </w:pPr>
            <w:r>
              <w:rPr>
                <w:rFonts w:eastAsia="方正仿宋简体"/>
                <w:kern w:val="0"/>
                <w:sz w:val="24"/>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5D5C">
            <w:pPr>
              <w:widowControl/>
              <w:spacing w:line="320" w:lineRule="exact"/>
              <w:jc w:val="right"/>
              <w:textAlignment w:val="center"/>
              <w:rPr>
                <w:rFonts w:eastAsia="方正仿宋简体"/>
                <w:sz w:val="24"/>
              </w:rPr>
            </w:pPr>
          </w:p>
        </w:tc>
      </w:tr>
      <w:tr w14:paraId="7AB36273">
        <w:tblPrEx>
          <w:tblCellMar>
            <w:top w:w="0" w:type="dxa"/>
            <w:left w:w="108" w:type="dxa"/>
            <w:bottom w:w="0" w:type="dxa"/>
            <w:right w:w="108" w:type="dxa"/>
          </w:tblCellMar>
        </w:tblPrEx>
        <w:trPr>
          <w:gridAfter w:val="1"/>
          <w:wAfter w:w="234" w:type="dxa"/>
          <w:trHeight w:val="887"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6AE2D">
            <w:pPr>
              <w:spacing w:line="320" w:lineRule="exact"/>
              <w:jc w:val="center"/>
              <w:rPr>
                <w:rFonts w:eastAsia="方正仿宋简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64E0">
            <w:pPr>
              <w:widowControl/>
              <w:spacing w:line="320" w:lineRule="exact"/>
              <w:jc w:val="left"/>
              <w:textAlignment w:val="center"/>
              <w:rPr>
                <w:rFonts w:eastAsia="方正仿宋简体"/>
                <w:kern w:val="0"/>
                <w:sz w:val="24"/>
              </w:rPr>
            </w:pPr>
            <w:r>
              <w:rPr>
                <w:rFonts w:eastAsia="方正仿宋简体"/>
                <w:kern w:val="0"/>
                <w:sz w:val="24"/>
              </w:rPr>
              <w:t>其中：</w:t>
            </w:r>
          </w:p>
          <w:p w14:paraId="4FAE5554">
            <w:pPr>
              <w:widowControl/>
              <w:spacing w:line="320" w:lineRule="exact"/>
              <w:jc w:val="left"/>
              <w:textAlignment w:val="center"/>
              <w:rPr>
                <w:rFonts w:eastAsia="方正仿宋简体"/>
                <w:sz w:val="24"/>
              </w:rPr>
            </w:pPr>
            <w:r>
              <w:rPr>
                <w:rFonts w:eastAsia="方正仿宋简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961E">
            <w:pPr>
              <w:widowControl/>
              <w:spacing w:line="320" w:lineRule="exact"/>
              <w:jc w:val="left"/>
              <w:textAlignment w:val="center"/>
              <w:rPr>
                <w:rFonts w:eastAsia="方正仿宋简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8211">
            <w:pPr>
              <w:widowControl/>
              <w:spacing w:line="320" w:lineRule="exact"/>
              <w:jc w:val="left"/>
              <w:textAlignment w:val="center"/>
              <w:rPr>
                <w:rFonts w:eastAsia="方正仿宋简体"/>
                <w:kern w:val="0"/>
                <w:sz w:val="24"/>
              </w:rPr>
            </w:pPr>
            <w:r>
              <w:rPr>
                <w:rFonts w:eastAsia="方正仿宋简体"/>
                <w:kern w:val="0"/>
                <w:sz w:val="24"/>
              </w:rPr>
              <w:t>其中：</w:t>
            </w:r>
          </w:p>
          <w:p w14:paraId="6E990EC7">
            <w:pPr>
              <w:widowControl/>
              <w:spacing w:line="320" w:lineRule="exact"/>
              <w:jc w:val="left"/>
              <w:textAlignment w:val="center"/>
              <w:rPr>
                <w:rFonts w:eastAsia="方正仿宋简体"/>
                <w:sz w:val="24"/>
              </w:rPr>
            </w:pPr>
            <w:r>
              <w:rPr>
                <w:rFonts w:eastAsia="方正仿宋简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CB85">
            <w:pPr>
              <w:widowControl/>
              <w:spacing w:line="320" w:lineRule="exact"/>
              <w:textAlignment w:val="center"/>
              <w:rPr>
                <w:rFonts w:eastAsia="方正仿宋简体"/>
                <w:sz w:val="24"/>
              </w:rPr>
            </w:pPr>
          </w:p>
        </w:tc>
      </w:tr>
      <w:tr w14:paraId="3B49E282">
        <w:tblPrEx>
          <w:tblCellMar>
            <w:top w:w="0" w:type="dxa"/>
            <w:left w:w="108" w:type="dxa"/>
            <w:bottom w:w="0" w:type="dxa"/>
            <w:right w:w="108" w:type="dxa"/>
          </w:tblCellMar>
        </w:tblPrEx>
        <w:trPr>
          <w:gridAfter w:val="1"/>
          <w:wAfter w:w="234" w:type="dxa"/>
          <w:trHeight w:val="373"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3B98F">
            <w:pPr>
              <w:spacing w:line="320" w:lineRule="exact"/>
              <w:jc w:val="center"/>
              <w:rPr>
                <w:rFonts w:eastAsia="方正仿宋简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25DD">
            <w:pPr>
              <w:widowControl/>
              <w:spacing w:line="320" w:lineRule="exact"/>
              <w:jc w:val="left"/>
              <w:textAlignment w:val="center"/>
              <w:rPr>
                <w:rFonts w:eastAsia="方正仿宋简体"/>
                <w:sz w:val="24"/>
              </w:rPr>
            </w:pPr>
            <w:r>
              <w:rPr>
                <w:rFonts w:eastAsia="方正仿宋简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BAEA">
            <w:pPr>
              <w:widowControl/>
              <w:spacing w:line="320" w:lineRule="exact"/>
              <w:jc w:val="left"/>
              <w:textAlignment w:val="center"/>
              <w:rPr>
                <w:rFonts w:eastAsia="方正仿宋简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6952">
            <w:pPr>
              <w:widowControl/>
              <w:spacing w:line="320" w:lineRule="exact"/>
              <w:jc w:val="left"/>
              <w:textAlignment w:val="center"/>
              <w:rPr>
                <w:rFonts w:eastAsia="方正仿宋简体"/>
                <w:sz w:val="24"/>
              </w:rPr>
            </w:pPr>
            <w:r>
              <w:rPr>
                <w:rFonts w:eastAsia="方正仿宋简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906F">
            <w:pPr>
              <w:widowControl/>
              <w:spacing w:line="320" w:lineRule="exact"/>
              <w:jc w:val="center"/>
              <w:textAlignment w:val="center"/>
              <w:rPr>
                <w:rFonts w:eastAsia="方正仿宋简体"/>
                <w:sz w:val="24"/>
              </w:rPr>
            </w:pPr>
          </w:p>
        </w:tc>
      </w:tr>
      <w:tr w14:paraId="398E1625">
        <w:tblPrEx>
          <w:tblCellMar>
            <w:top w:w="0" w:type="dxa"/>
            <w:left w:w="108" w:type="dxa"/>
            <w:bottom w:w="0" w:type="dxa"/>
            <w:right w:w="108" w:type="dxa"/>
          </w:tblCellMar>
        </w:tblPrEx>
        <w:trPr>
          <w:gridAfter w:val="1"/>
          <w:wAfter w:w="234" w:type="dxa"/>
          <w:trHeight w:val="448"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9B189">
            <w:pPr>
              <w:widowControl/>
              <w:spacing w:line="320" w:lineRule="exact"/>
              <w:jc w:val="center"/>
              <w:textAlignment w:val="center"/>
              <w:rPr>
                <w:rFonts w:eastAsia="方正仿宋简体"/>
                <w:kern w:val="0"/>
                <w:sz w:val="24"/>
              </w:rPr>
            </w:pPr>
            <w:r>
              <w:rPr>
                <w:rFonts w:eastAsia="方正仿宋简体"/>
                <w:kern w:val="0"/>
                <w:sz w:val="24"/>
              </w:rPr>
              <w:t>年度总体目标</w:t>
            </w:r>
          </w:p>
          <w:p w14:paraId="34A1970F">
            <w:pPr>
              <w:widowControl/>
              <w:spacing w:line="320" w:lineRule="exact"/>
              <w:jc w:val="center"/>
              <w:textAlignment w:val="center"/>
              <w:rPr>
                <w:rFonts w:eastAsia="方正仿宋简体"/>
                <w:sz w:val="24"/>
              </w:rPr>
            </w:pPr>
            <w:r>
              <w:rPr>
                <w:rFonts w:eastAsia="方正仿宋简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C9ACA">
            <w:pPr>
              <w:widowControl/>
              <w:spacing w:line="320" w:lineRule="exact"/>
              <w:jc w:val="center"/>
              <w:textAlignment w:val="center"/>
              <w:rPr>
                <w:rFonts w:eastAsia="方正仿宋简体"/>
                <w:sz w:val="24"/>
              </w:rPr>
            </w:pPr>
            <w:r>
              <w:rPr>
                <w:rFonts w:eastAsia="方正仿宋简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82523">
            <w:pPr>
              <w:widowControl/>
              <w:spacing w:line="320" w:lineRule="exact"/>
              <w:jc w:val="center"/>
              <w:textAlignment w:val="center"/>
              <w:rPr>
                <w:rFonts w:eastAsia="方正仿宋简体"/>
                <w:sz w:val="24"/>
              </w:rPr>
            </w:pPr>
            <w:r>
              <w:rPr>
                <w:rFonts w:eastAsia="方正仿宋简体"/>
                <w:kern w:val="0"/>
                <w:sz w:val="24"/>
              </w:rPr>
              <w:t>目标实际完成情况</w:t>
            </w:r>
          </w:p>
        </w:tc>
      </w:tr>
      <w:tr w14:paraId="744E78EE">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5A241">
            <w:pPr>
              <w:spacing w:line="320" w:lineRule="exact"/>
              <w:jc w:val="center"/>
              <w:rPr>
                <w:rFonts w:eastAsia="方正仿宋简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14:paraId="03C667C1">
            <w:pPr>
              <w:widowControl/>
              <w:spacing w:line="320" w:lineRule="exact"/>
              <w:jc w:val="left"/>
              <w:textAlignment w:val="top"/>
              <w:rPr>
                <w:rFonts w:eastAsia="方正仿宋简体"/>
                <w:sz w:val="24"/>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14:paraId="559CEB8B">
            <w:pPr>
              <w:widowControl/>
              <w:spacing w:line="320" w:lineRule="exact"/>
              <w:jc w:val="left"/>
              <w:textAlignment w:val="top"/>
              <w:rPr>
                <w:rFonts w:eastAsia="方正仿宋简体"/>
                <w:sz w:val="24"/>
              </w:rPr>
            </w:pPr>
          </w:p>
        </w:tc>
      </w:tr>
      <w:tr w14:paraId="4F84902F">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14:paraId="632CF44F">
            <w:pPr>
              <w:widowControl/>
              <w:spacing w:line="320" w:lineRule="exact"/>
              <w:jc w:val="center"/>
              <w:textAlignment w:val="center"/>
              <w:rPr>
                <w:rFonts w:eastAsia="方正仿宋简体"/>
                <w:sz w:val="28"/>
                <w:szCs w:val="28"/>
              </w:rPr>
            </w:pPr>
            <w:r>
              <w:rPr>
                <w:rFonts w:eastAsia="方正仿宋简体"/>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14:paraId="7D7D34CC">
            <w:pPr>
              <w:widowControl/>
              <w:spacing w:line="320" w:lineRule="exact"/>
              <w:jc w:val="center"/>
              <w:textAlignment w:val="center"/>
              <w:rPr>
                <w:rFonts w:eastAsia="方正仿宋简体"/>
                <w:kern w:val="0"/>
                <w:sz w:val="28"/>
                <w:szCs w:val="28"/>
              </w:rPr>
            </w:pPr>
            <w:r>
              <w:rPr>
                <w:rFonts w:eastAsia="方正仿宋简体"/>
                <w:kern w:val="0"/>
                <w:sz w:val="28"/>
                <w:szCs w:val="28"/>
              </w:rPr>
              <w:t>一级</w:t>
            </w:r>
          </w:p>
          <w:p w14:paraId="7399CC65">
            <w:pPr>
              <w:widowControl/>
              <w:spacing w:line="320" w:lineRule="exact"/>
              <w:jc w:val="center"/>
              <w:textAlignment w:val="center"/>
              <w:rPr>
                <w:rFonts w:eastAsia="方正仿宋简体"/>
                <w:sz w:val="28"/>
                <w:szCs w:val="28"/>
              </w:rPr>
            </w:pPr>
            <w:r>
              <w:rPr>
                <w:rFonts w:eastAsia="方正仿宋简体"/>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C302">
            <w:pPr>
              <w:widowControl/>
              <w:spacing w:line="320" w:lineRule="exact"/>
              <w:jc w:val="center"/>
              <w:textAlignment w:val="center"/>
              <w:rPr>
                <w:rFonts w:eastAsia="方正仿宋简体"/>
                <w:kern w:val="0"/>
                <w:sz w:val="28"/>
                <w:szCs w:val="28"/>
              </w:rPr>
            </w:pPr>
            <w:r>
              <w:rPr>
                <w:rFonts w:eastAsia="方正仿宋简体"/>
                <w:kern w:val="0"/>
                <w:sz w:val="28"/>
                <w:szCs w:val="28"/>
              </w:rPr>
              <w:t>二级</w:t>
            </w:r>
          </w:p>
          <w:p w14:paraId="12D6AA1F">
            <w:pPr>
              <w:widowControl/>
              <w:spacing w:line="320" w:lineRule="exact"/>
              <w:jc w:val="center"/>
              <w:textAlignment w:val="center"/>
              <w:rPr>
                <w:rFonts w:eastAsia="方正仿宋简体"/>
                <w:sz w:val="28"/>
                <w:szCs w:val="28"/>
              </w:rPr>
            </w:pPr>
            <w:r>
              <w:rPr>
                <w:rFonts w:eastAsia="方正仿宋简体"/>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AD5D">
            <w:pPr>
              <w:widowControl/>
              <w:spacing w:line="320" w:lineRule="exact"/>
              <w:jc w:val="center"/>
              <w:textAlignment w:val="center"/>
              <w:rPr>
                <w:rFonts w:eastAsia="方正仿宋简体"/>
                <w:kern w:val="0"/>
                <w:sz w:val="28"/>
                <w:szCs w:val="28"/>
              </w:rPr>
            </w:pPr>
            <w:r>
              <w:rPr>
                <w:rFonts w:eastAsia="方正仿宋简体"/>
                <w:kern w:val="0"/>
                <w:sz w:val="28"/>
                <w:szCs w:val="28"/>
              </w:rPr>
              <w:t>三级</w:t>
            </w:r>
          </w:p>
          <w:p w14:paraId="6BD8135A">
            <w:pPr>
              <w:widowControl/>
              <w:spacing w:line="320" w:lineRule="exact"/>
              <w:jc w:val="center"/>
              <w:textAlignment w:val="center"/>
              <w:rPr>
                <w:rFonts w:eastAsia="方正仿宋简体"/>
                <w:sz w:val="28"/>
                <w:szCs w:val="28"/>
              </w:rPr>
            </w:pPr>
            <w:r>
              <w:rPr>
                <w:rFonts w:eastAsia="方正仿宋简体"/>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E9D1">
            <w:pPr>
              <w:widowControl/>
              <w:spacing w:line="320" w:lineRule="exact"/>
              <w:jc w:val="center"/>
              <w:textAlignment w:val="center"/>
              <w:rPr>
                <w:rFonts w:eastAsia="方正仿宋简体"/>
                <w:sz w:val="28"/>
                <w:szCs w:val="28"/>
              </w:rPr>
            </w:pPr>
            <w:r>
              <w:rPr>
                <w:rFonts w:eastAsia="方正仿宋简体"/>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ADEC">
            <w:pPr>
              <w:widowControl/>
              <w:spacing w:line="320" w:lineRule="exact"/>
              <w:jc w:val="center"/>
              <w:textAlignment w:val="center"/>
              <w:rPr>
                <w:rFonts w:eastAsia="方正仿宋简体"/>
                <w:sz w:val="28"/>
                <w:szCs w:val="28"/>
              </w:rPr>
            </w:pPr>
            <w:r>
              <w:rPr>
                <w:rFonts w:eastAsia="方正仿宋简体"/>
                <w:kern w:val="0"/>
                <w:sz w:val="28"/>
                <w:szCs w:val="28"/>
              </w:rPr>
              <w:t>实际完成指标值</w:t>
            </w:r>
          </w:p>
        </w:tc>
      </w:tr>
      <w:tr w14:paraId="3820DE13">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69A38F33">
            <w:pPr>
              <w:spacing w:line="320" w:lineRule="exact"/>
              <w:jc w:val="center"/>
              <w:rPr>
                <w:rFonts w:eastAsia="方正仿宋简体"/>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52805">
            <w:pPr>
              <w:widowControl/>
              <w:spacing w:line="320" w:lineRule="exact"/>
              <w:jc w:val="center"/>
              <w:textAlignment w:val="bottom"/>
              <w:rPr>
                <w:rFonts w:eastAsia="方正仿宋简体"/>
                <w:kern w:val="0"/>
                <w:sz w:val="28"/>
                <w:szCs w:val="28"/>
              </w:rPr>
            </w:pPr>
            <w:r>
              <w:rPr>
                <w:rFonts w:eastAsia="方正仿宋简体"/>
                <w:kern w:val="0"/>
                <w:sz w:val="28"/>
                <w:szCs w:val="28"/>
              </w:rPr>
              <w:t>完成</w:t>
            </w:r>
          </w:p>
          <w:p w14:paraId="003D6AFA">
            <w:pPr>
              <w:widowControl/>
              <w:spacing w:line="320" w:lineRule="exact"/>
              <w:jc w:val="center"/>
              <w:textAlignment w:val="bottom"/>
              <w:rPr>
                <w:rFonts w:eastAsia="方正仿宋简体"/>
                <w:sz w:val="28"/>
                <w:szCs w:val="28"/>
              </w:rPr>
            </w:pPr>
            <w:r>
              <w:rPr>
                <w:rFonts w:eastAsia="方正仿宋简体"/>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E163BC">
            <w:pPr>
              <w:widowControl/>
              <w:spacing w:line="320" w:lineRule="exact"/>
              <w:jc w:val="center"/>
              <w:textAlignment w:val="bottom"/>
              <w:rPr>
                <w:rFonts w:eastAsia="方正仿宋简体"/>
                <w:sz w:val="28"/>
                <w:szCs w:val="28"/>
              </w:rPr>
            </w:pPr>
            <w:r>
              <w:rPr>
                <w:rFonts w:eastAsia="方正仿宋简体"/>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7E071B">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087059">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DE47E5">
            <w:pPr>
              <w:widowControl/>
              <w:spacing w:line="320" w:lineRule="exact"/>
              <w:jc w:val="center"/>
              <w:textAlignment w:val="bottom"/>
              <w:rPr>
                <w:rFonts w:eastAsia="方正仿宋简体"/>
                <w:sz w:val="28"/>
                <w:szCs w:val="28"/>
              </w:rPr>
            </w:pPr>
          </w:p>
        </w:tc>
      </w:tr>
      <w:tr w14:paraId="69CC017E">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1DAF2BBD">
            <w:pPr>
              <w:spacing w:line="320" w:lineRule="exact"/>
              <w:jc w:val="center"/>
              <w:rPr>
                <w:rFonts w:eastAsia="方正仿宋简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5565871">
            <w:pPr>
              <w:spacing w:line="320" w:lineRule="exact"/>
              <w:jc w:val="center"/>
              <w:rPr>
                <w:rFonts w:eastAsia="方正仿宋简体"/>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9309F3">
            <w:pPr>
              <w:widowControl/>
              <w:spacing w:line="320" w:lineRule="exact"/>
              <w:jc w:val="center"/>
              <w:textAlignment w:val="bottom"/>
              <w:rPr>
                <w:rFonts w:eastAsia="方正仿宋简体"/>
                <w:sz w:val="28"/>
                <w:szCs w:val="28"/>
              </w:rPr>
            </w:pPr>
            <w:r>
              <w:rPr>
                <w:rFonts w:eastAsia="方正仿宋简体"/>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31609A">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2C157B">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BB1812">
            <w:pPr>
              <w:widowControl/>
              <w:spacing w:line="320" w:lineRule="exact"/>
              <w:jc w:val="center"/>
              <w:textAlignment w:val="bottom"/>
              <w:rPr>
                <w:rFonts w:eastAsia="方正仿宋简体"/>
                <w:sz w:val="28"/>
                <w:szCs w:val="28"/>
              </w:rPr>
            </w:pPr>
          </w:p>
        </w:tc>
      </w:tr>
      <w:tr w14:paraId="3525565E">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14:paraId="61698919">
            <w:pPr>
              <w:spacing w:line="320" w:lineRule="exact"/>
              <w:jc w:val="center"/>
              <w:rPr>
                <w:rFonts w:eastAsia="方正仿宋简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DF9F441">
            <w:pPr>
              <w:spacing w:line="320" w:lineRule="exact"/>
              <w:jc w:val="center"/>
              <w:rPr>
                <w:rFonts w:eastAsia="方正仿宋简体"/>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7CAEDD">
            <w:pPr>
              <w:widowControl/>
              <w:spacing w:line="320" w:lineRule="exact"/>
              <w:jc w:val="center"/>
              <w:textAlignment w:val="bottom"/>
              <w:rPr>
                <w:rFonts w:eastAsia="方正仿宋简体"/>
                <w:sz w:val="28"/>
                <w:szCs w:val="28"/>
              </w:rPr>
            </w:pPr>
            <w:r>
              <w:rPr>
                <w:rFonts w:eastAsia="方正仿宋简体"/>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D2D43C">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A7B891">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9FC16">
            <w:pPr>
              <w:widowControl/>
              <w:spacing w:line="320" w:lineRule="exact"/>
              <w:jc w:val="center"/>
              <w:textAlignment w:val="bottom"/>
              <w:rPr>
                <w:rFonts w:eastAsia="方正仿宋简体"/>
                <w:sz w:val="28"/>
                <w:szCs w:val="28"/>
              </w:rPr>
            </w:pPr>
          </w:p>
        </w:tc>
      </w:tr>
      <w:tr w14:paraId="11FC6F78">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14:paraId="5AB195FD">
            <w:pPr>
              <w:spacing w:line="320" w:lineRule="exact"/>
              <w:jc w:val="center"/>
              <w:rPr>
                <w:rFonts w:eastAsia="方正仿宋简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4668948">
            <w:pPr>
              <w:spacing w:line="320" w:lineRule="exact"/>
              <w:jc w:val="center"/>
              <w:rPr>
                <w:rFonts w:eastAsia="方正仿宋简体"/>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968053">
            <w:pPr>
              <w:widowControl/>
              <w:spacing w:line="320" w:lineRule="exact"/>
              <w:jc w:val="center"/>
              <w:textAlignment w:val="bottom"/>
              <w:rPr>
                <w:rFonts w:eastAsia="方正仿宋简体"/>
                <w:sz w:val="28"/>
                <w:szCs w:val="28"/>
              </w:rPr>
            </w:pPr>
            <w:r>
              <w:rPr>
                <w:rFonts w:eastAsia="方正仿宋简体"/>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1BAF1A">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05AF57">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9983E2">
            <w:pPr>
              <w:widowControl/>
              <w:spacing w:line="320" w:lineRule="exact"/>
              <w:jc w:val="center"/>
              <w:textAlignment w:val="bottom"/>
              <w:rPr>
                <w:rFonts w:eastAsia="方正仿宋简体"/>
                <w:sz w:val="28"/>
                <w:szCs w:val="28"/>
              </w:rPr>
            </w:pPr>
          </w:p>
        </w:tc>
      </w:tr>
      <w:tr w14:paraId="6C3D5B92">
        <w:tblPrEx>
          <w:tblCellMar>
            <w:top w:w="0" w:type="dxa"/>
            <w:left w:w="108" w:type="dxa"/>
            <w:bottom w:w="0" w:type="dxa"/>
            <w:right w:w="108" w:type="dxa"/>
          </w:tblCellMar>
        </w:tblPrEx>
        <w:trPr>
          <w:gridAfter w:val="1"/>
          <w:wAfter w:w="234" w:type="dxa"/>
          <w:trHeight w:val="825" w:hRule="atLeast"/>
        </w:trPr>
        <w:tc>
          <w:tcPr>
            <w:tcW w:w="1977" w:type="dxa"/>
            <w:vMerge w:val="continue"/>
            <w:tcBorders>
              <w:left w:val="single" w:color="000000" w:sz="4" w:space="0"/>
              <w:right w:val="single" w:color="000000" w:sz="4" w:space="0"/>
            </w:tcBorders>
            <w:shd w:val="clear" w:color="auto" w:fill="auto"/>
            <w:vAlign w:val="center"/>
          </w:tcPr>
          <w:p w14:paraId="1D71EAFA">
            <w:pPr>
              <w:spacing w:line="320" w:lineRule="exact"/>
              <w:jc w:val="center"/>
              <w:rPr>
                <w:rFonts w:eastAsia="方正仿宋简体"/>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8347B">
            <w:pPr>
              <w:widowControl/>
              <w:spacing w:line="320" w:lineRule="exact"/>
              <w:jc w:val="center"/>
              <w:textAlignment w:val="bottom"/>
              <w:rPr>
                <w:rFonts w:hint="eastAsia" w:eastAsia="方正仿宋简体"/>
                <w:kern w:val="0"/>
                <w:sz w:val="28"/>
                <w:szCs w:val="28"/>
                <w:lang w:eastAsia="zh-CN"/>
              </w:rPr>
            </w:pPr>
            <w:r>
              <w:rPr>
                <w:rFonts w:eastAsia="方正仿宋简体"/>
                <w:kern w:val="0"/>
                <w:sz w:val="28"/>
                <w:szCs w:val="28"/>
              </w:rPr>
              <w:t>效益</w:t>
            </w:r>
          </w:p>
          <w:p w14:paraId="28EB6787">
            <w:pPr>
              <w:widowControl/>
              <w:spacing w:line="320" w:lineRule="exact"/>
              <w:jc w:val="center"/>
              <w:textAlignment w:val="bottom"/>
              <w:rPr>
                <w:rFonts w:eastAsia="方正仿宋简体"/>
                <w:sz w:val="28"/>
                <w:szCs w:val="28"/>
              </w:rPr>
            </w:pPr>
            <w:r>
              <w:rPr>
                <w:rFonts w:eastAsia="方正仿宋简体"/>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45F84F">
            <w:pPr>
              <w:widowControl/>
              <w:spacing w:line="320" w:lineRule="exact"/>
              <w:jc w:val="center"/>
              <w:textAlignment w:val="bottom"/>
              <w:rPr>
                <w:rFonts w:eastAsia="方正仿宋简体"/>
                <w:sz w:val="28"/>
                <w:szCs w:val="28"/>
              </w:rPr>
            </w:pPr>
            <w:r>
              <w:rPr>
                <w:rFonts w:eastAsia="方正仿宋简体"/>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7E4843">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1CDDD9">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35CBA1">
            <w:pPr>
              <w:widowControl/>
              <w:spacing w:line="320" w:lineRule="exact"/>
              <w:jc w:val="center"/>
              <w:textAlignment w:val="bottom"/>
              <w:rPr>
                <w:rFonts w:eastAsia="方正仿宋简体"/>
                <w:sz w:val="28"/>
                <w:szCs w:val="28"/>
              </w:rPr>
            </w:pPr>
          </w:p>
        </w:tc>
      </w:tr>
      <w:tr w14:paraId="3B3AB75D">
        <w:tblPrEx>
          <w:tblCellMar>
            <w:top w:w="0" w:type="dxa"/>
            <w:left w:w="108" w:type="dxa"/>
            <w:bottom w:w="0" w:type="dxa"/>
            <w:right w:w="108" w:type="dxa"/>
          </w:tblCellMar>
        </w:tblPrEx>
        <w:trPr>
          <w:gridAfter w:val="1"/>
          <w:wAfter w:w="234" w:type="dxa"/>
          <w:trHeight w:val="837" w:hRule="atLeast"/>
        </w:trPr>
        <w:tc>
          <w:tcPr>
            <w:tcW w:w="1977" w:type="dxa"/>
            <w:vMerge w:val="continue"/>
            <w:tcBorders>
              <w:left w:val="single" w:color="000000" w:sz="4" w:space="0"/>
              <w:right w:val="single" w:color="000000" w:sz="4" w:space="0"/>
            </w:tcBorders>
            <w:shd w:val="clear" w:color="auto" w:fill="auto"/>
            <w:vAlign w:val="center"/>
          </w:tcPr>
          <w:p w14:paraId="2B9A0250">
            <w:pPr>
              <w:spacing w:line="320" w:lineRule="exact"/>
              <w:jc w:val="center"/>
              <w:rPr>
                <w:rFonts w:eastAsia="方正仿宋简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E41F296">
            <w:pPr>
              <w:spacing w:line="320" w:lineRule="exact"/>
              <w:jc w:val="center"/>
              <w:rPr>
                <w:rFonts w:eastAsia="方正仿宋简体"/>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508484">
            <w:pPr>
              <w:widowControl/>
              <w:spacing w:line="320" w:lineRule="exact"/>
              <w:jc w:val="center"/>
              <w:textAlignment w:val="bottom"/>
              <w:rPr>
                <w:rFonts w:eastAsia="方正仿宋简体"/>
                <w:sz w:val="28"/>
                <w:szCs w:val="28"/>
              </w:rPr>
            </w:pPr>
            <w:r>
              <w:rPr>
                <w:rFonts w:eastAsia="方正仿宋简体"/>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1B9611">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05F8FE">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039BE0">
            <w:pPr>
              <w:widowControl/>
              <w:spacing w:line="320" w:lineRule="exact"/>
              <w:jc w:val="center"/>
              <w:textAlignment w:val="bottom"/>
              <w:rPr>
                <w:rFonts w:eastAsia="方正仿宋简体"/>
                <w:sz w:val="28"/>
                <w:szCs w:val="28"/>
              </w:rPr>
            </w:pPr>
          </w:p>
        </w:tc>
      </w:tr>
      <w:tr w14:paraId="36AE081E">
        <w:tblPrEx>
          <w:tblCellMar>
            <w:top w:w="0" w:type="dxa"/>
            <w:left w:w="108" w:type="dxa"/>
            <w:bottom w:w="0" w:type="dxa"/>
            <w:right w:w="108" w:type="dxa"/>
          </w:tblCellMar>
        </w:tblPrEx>
        <w:trPr>
          <w:gridAfter w:val="1"/>
          <w:wAfter w:w="234" w:type="dxa"/>
          <w:trHeight w:val="835" w:hRule="atLeast"/>
        </w:trPr>
        <w:tc>
          <w:tcPr>
            <w:tcW w:w="1977" w:type="dxa"/>
            <w:vMerge w:val="continue"/>
            <w:tcBorders>
              <w:left w:val="single" w:color="000000" w:sz="4" w:space="0"/>
              <w:right w:val="single" w:color="000000" w:sz="4" w:space="0"/>
            </w:tcBorders>
            <w:shd w:val="clear" w:color="auto" w:fill="auto"/>
            <w:vAlign w:val="center"/>
          </w:tcPr>
          <w:p w14:paraId="7D500518">
            <w:pPr>
              <w:spacing w:line="320" w:lineRule="exact"/>
              <w:jc w:val="center"/>
              <w:rPr>
                <w:rFonts w:eastAsia="方正仿宋简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E4035DD">
            <w:pPr>
              <w:spacing w:line="320" w:lineRule="exact"/>
              <w:jc w:val="center"/>
              <w:rPr>
                <w:rFonts w:eastAsia="方正仿宋简体"/>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476A9E">
            <w:pPr>
              <w:widowControl/>
              <w:spacing w:line="320" w:lineRule="exact"/>
              <w:ind w:left="463" w:leftChars="87" w:hanging="280" w:hangingChars="100"/>
              <w:jc w:val="left"/>
              <w:textAlignment w:val="bottom"/>
              <w:rPr>
                <w:rFonts w:eastAsia="方正仿宋简体"/>
                <w:sz w:val="28"/>
                <w:szCs w:val="28"/>
              </w:rPr>
            </w:pPr>
            <w:r>
              <w:rPr>
                <w:rFonts w:eastAsia="方正仿宋简体"/>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8C464B">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C74E78">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1857E6">
            <w:pPr>
              <w:widowControl/>
              <w:spacing w:line="320" w:lineRule="exact"/>
              <w:jc w:val="center"/>
              <w:textAlignment w:val="bottom"/>
              <w:rPr>
                <w:rFonts w:eastAsia="方正仿宋简体"/>
                <w:sz w:val="28"/>
                <w:szCs w:val="28"/>
              </w:rPr>
            </w:pPr>
          </w:p>
        </w:tc>
      </w:tr>
      <w:tr w14:paraId="6864BEE2">
        <w:tblPrEx>
          <w:tblCellMar>
            <w:top w:w="0" w:type="dxa"/>
            <w:left w:w="108" w:type="dxa"/>
            <w:bottom w:w="0" w:type="dxa"/>
            <w:right w:w="108" w:type="dxa"/>
          </w:tblCellMar>
        </w:tblPrEx>
        <w:trPr>
          <w:gridAfter w:val="1"/>
          <w:wAfter w:w="234" w:type="dxa"/>
          <w:trHeight w:val="833" w:hRule="atLeast"/>
        </w:trPr>
        <w:tc>
          <w:tcPr>
            <w:tcW w:w="1977" w:type="dxa"/>
            <w:vMerge w:val="continue"/>
            <w:tcBorders>
              <w:left w:val="single" w:color="000000" w:sz="4" w:space="0"/>
              <w:right w:val="single" w:color="000000" w:sz="4" w:space="0"/>
            </w:tcBorders>
            <w:shd w:val="clear" w:color="auto" w:fill="auto"/>
            <w:vAlign w:val="center"/>
          </w:tcPr>
          <w:p w14:paraId="62A0490A">
            <w:pPr>
              <w:spacing w:line="320" w:lineRule="exact"/>
              <w:jc w:val="center"/>
              <w:rPr>
                <w:rFonts w:eastAsia="方正仿宋简体"/>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02F14D4">
            <w:pPr>
              <w:spacing w:line="320" w:lineRule="exact"/>
              <w:jc w:val="center"/>
              <w:rPr>
                <w:rFonts w:eastAsia="方正仿宋简体"/>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77D241">
            <w:pPr>
              <w:widowControl/>
              <w:spacing w:line="320" w:lineRule="exact"/>
              <w:jc w:val="center"/>
              <w:textAlignment w:val="bottom"/>
              <w:rPr>
                <w:rFonts w:eastAsia="方正仿宋简体"/>
                <w:sz w:val="28"/>
                <w:szCs w:val="28"/>
              </w:rPr>
            </w:pPr>
            <w:r>
              <w:rPr>
                <w:rFonts w:eastAsia="方正仿宋简体"/>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83F741">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2097F2">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563282F">
            <w:pPr>
              <w:widowControl/>
              <w:spacing w:line="320" w:lineRule="exact"/>
              <w:jc w:val="center"/>
              <w:textAlignment w:val="bottom"/>
              <w:rPr>
                <w:rFonts w:eastAsia="方正仿宋简体"/>
                <w:sz w:val="28"/>
                <w:szCs w:val="28"/>
              </w:rPr>
            </w:pPr>
          </w:p>
        </w:tc>
      </w:tr>
      <w:tr w14:paraId="7FE6DB4E">
        <w:tblPrEx>
          <w:tblCellMar>
            <w:top w:w="0" w:type="dxa"/>
            <w:left w:w="108" w:type="dxa"/>
            <w:bottom w:w="0" w:type="dxa"/>
            <w:right w:w="108" w:type="dxa"/>
          </w:tblCellMar>
        </w:tblPrEx>
        <w:trPr>
          <w:gridAfter w:val="1"/>
          <w:wAfter w:w="234" w:type="dxa"/>
          <w:trHeight w:val="845"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14:paraId="5D0604FC">
            <w:pPr>
              <w:spacing w:line="320" w:lineRule="exact"/>
              <w:jc w:val="center"/>
              <w:rPr>
                <w:rFonts w:eastAsia="方正仿宋简体"/>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6DFC28">
            <w:pPr>
              <w:widowControl/>
              <w:spacing w:line="320" w:lineRule="exact"/>
              <w:jc w:val="center"/>
              <w:textAlignment w:val="bottom"/>
              <w:rPr>
                <w:rFonts w:hint="eastAsia" w:eastAsia="方正仿宋简体"/>
                <w:kern w:val="0"/>
                <w:sz w:val="28"/>
                <w:szCs w:val="28"/>
                <w:lang w:eastAsia="zh-CN"/>
              </w:rPr>
            </w:pPr>
            <w:r>
              <w:rPr>
                <w:rFonts w:eastAsia="方正仿宋简体"/>
                <w:kern w:val="0"/>
                <w:sz w:val="28"/>
                <w:szCs w:val="28"/>
              </w:rPr>
              <w:t>满意</w:t>
            </w:r>
          </w:p>
          <w:p w14:paraId="27D0F384">
            <w:pPr>
              <w:widowControl/>
              <w:spacing w:line="320" w:lineRule="exact"/>
              <w:jc w:val="center"/>
              <w:textAlignment w:val="bottom"/>
              <w:rPr>
                <w:rFonts w:eastAsia="方正仿宋简体"/>
                <w:sz w:val="28"/>
                <w:szCs w:val="28"/>
              </w:rPr>
            </w:pPr>
            <w:r>
              <w:rPr>
                <w:rFonts w:eastAsia="方正仿宋简体"/>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38C099">
            <w:pPr>
              <w:widowControl/>
              <w:spacing w:line="320" w:lineRule="exact"/>
              <w:jc w:val="center"/>
              <w:textAlignment w:val="bottom"/>
              <w:rPr>
                <w:rFonts w:eastAsia="方正仿宋简体"/>
                <w:kern w:val="0"/>
                <w:sz w:val="28"/>
                <w:szCs w:val="28"/>
              </w:rPr>
            </w:pPr>
            <w:r>
              <w:rPr>
                <w:rFonts w:eastAsia="方正仿宋简体"/>
                <w:kern w:val="0"/>
                <w:sz w:val="28"/>
                <w:szCs w:val="28"/>
              </w:rPr>
              <w:t>满意度</w:t>
            </w:r>
          </w:p>
          <w:p w14:paraId="6F27C861">
            <w:pPr>
              <w:widowControl/>
              <w:spacing w:line="320" w:lineRule="exact"/>
              <w:jc w:val="center"/>
              <w:textAlignment w:val="bottom"/>
              <w:rPr>
                <w:rFonts w:eastAsia="方正仿宋简体"/>
                <w:sz w:val="28"/>
                <w:szCs w:val="28"/>
              </w:rPr>
            </w:pPr>
            <w:r>
              <w:rPr>
                <w:rFonts w:eastAsia="方正仿宋简体"/>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12A9EA">
            <w:pPr>
              <w:widowControl/>
              <w:spacing w:line="320" w:lineRule="exact"/>
              <w:jc w:val="center"/>
              <w:textAlignment w:val="bottom"/>
              <w:rPr>
                <w:rFonts w:eastAsia="方正仿宋简体"/>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996013">
            <w:pPr>
              <w:widowControl/>
              <w:spacing w:line="320" w:lineRule="exact"/>
              <w:jc w:val="center"/>
              <w:textAlignment w:val="bottom"/>
              <w:rPr>
                <w:rFonts w:eastAsia="方正仿宋简体"/>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9CBBE9">
            <w:pPr>
              <w:widowControl/>
              <w:spacing w:line="320" w:lineRule="exact"/>
              <w:jc w:val="center"/>
              <w:textAlignment w:val="bottom"/>
              <w:rPr>
                <w:rFonts w:eastAsia="方正仿宋简体"/>
                <w:sz w:val="28"/>
                <w:szCs w:val="28"/>
              </w:rPr>
            </w:pPr>
          </w:p>
        </w:tc>
      </w:tr>
      <w:bookmarkEnd w:id="51"/>
      <w:bookmarkEnd w:id="52"/>
    </w:tbl>
    <w:p w14:paraId="36E79171">
      <w:pPr>
        <w:spacing w:line="600" w:lineRule="exact"/>
        <w:jc w:val="both"/>
        <w:outlineLvl w:val="0"/>
        <w:rPr>
          <w:rFonts w:eastAsia="黑体"/>
          <w:sz w:val="44"/>
          <w:szCs w:val="44"/>
        </w:rPr>
      </w:pPr>
    </w:p>
    <w:p w14:paraId="23399544">
      <w:pPr>
        <w:spacing w:line="600" w:lineRule="exact"/>
        <w:jc w:val="center"/>
        <w:outlineLvl w:val="0"/>
        <w:rPr>
          <w:rFonts w:eastAsia="黑体"/>
          <w:sz w:val="44"/>
          <w:szCs w:val="44"/>
        </w:rPr>
      </w:pPr>
    </w:p>
    <w:p w14:paraId="30B3C10C">
      <w:pPr>
        <w:spacing w:line="600" w:lineRule="exact"/>
        <w:jc w:val="center"/>
        <w:outlineLvl w:val="0"/>
        <w:rPr>
          <w:rStyle w:val="12"/>
          <w:rFonts w:eastAsia="黑体"/>
          <w:b w:val="0"/>
        </w:rPr>
      </w:pPr>
      <w:r>
        <w:rPr>
          <w:rFonts w:eastAsia="黑体"/>
          <w:sz w:val="44"/>
          <w:szCs w:val="44"/>
        </w:rPr>
        <w:t>第</w:t>
      </w:r>
      <w:r>
        <w:rPr>
          <w:rStyle w:val="12"/>
          <w:rFonts w:eastAsia="黑体"/>
          <w:b w:val="0"/>
        </w:rPr>
        <w:t>五部分</w:t>
      </w:r>
      <w:r>
        <w:rPr>
          <w:rStyle w:val="12"/>
          <w:rFonts w:hint="eastAsia" w:eastAsia="黑体"/>
          <w:b w:val="0"/>
          <w:lang w:val="en-US" w:eastAsia="zh-CN"/>
        </w:rPr>
        <w:t xml:space="preserve"> </w:t>
      </w:r>
      <w:r>
        <w:rPr>
          <w:rStyle w:val="12"/>
          <w:rFonts w:eastAsia="黑体"/>
          <w:b w:val="0"/>
        </w:rPr>
        <w:t>附表</w:t>
      </w:r>
      <w:bookmarkStart w:id="53" w:name="_Toc15396619"/>
    </w:p>
    <w:p w14:paraId="1D2F6455">
      <w:pPr>
        <w:pStyle w:val="2"/>
        <w:spacing w:before="93"/>
        <w:rPr>
          <w:rFonts w:ascii="Times New Roman"/>
        </w:rPr>
      </w:pPr>
    </w:p>
    <w:p w14:paraId="5618C5FB">
      <w:pPr>
        <w:pStyle w:val="4"/>
        <w:spacing w:before="0" w:after="0" w:line="560" w:lineRule="exact"/>
        <w:rPr>
          <w:rFonts w:ascii="方正仿宋简体" w:hAnsi="Times New Roman" w:eastAsia="方正仿宋简体" w:cs="Times New Roman"/>
          <w:b w:val="0"/>
        </w:rPr>
      </w:pPr>
      <w:r>
        <w:rPr>
          <w:rFonts w:ascii="Times New Roman" w:hAnsi="Times New Roman" w:eastAsia="仿宋" w:cs="Times New Roman"/>
          <w:b w:val="0"/>
        </w:rPr>
        <w:t>　　</w:t>
      </w:r>
      <w:r>
        <w:rPr>
          <w:rFonts w:hint="eastAsia" w:ascii="方正仿宋简体" w:hAnsi="Times New Roman" w:eastAsia="方正仿宋简体" w:cs="Times New Roman"/>
          <w:b w:val="0"/>
        </w:rPr>
        <w:t>一、收</w:t>
      </w:r>
      <w:r>
        <w:rPr>
          <w:rStyle w:val="13"/>
          <w:rFonts w:hint="eastAsia" w:ascii="方正仿宋简体" w:hAnsi="Times New Roman" w:eastAsia="方正仿宋简体" w:cs="Times New Roman"/>
          <w:b w:val="0"/>
          <w:bCs/>
        </w:rPr>
        <w:t>入支出决算总表</w:t>
      </w:r>
      <w:bookmarkEnd w:id="53"/>
    </w:p>
    <w:p w14:paraId="79D0BB25">
      <w:pPr>
        <w:pStyle w:val="4"/>
        <w:spacing w:before="0" w:after="0" w:line="560" w:lineRule="exact"/>
        <w:rPr>
          <w:rFonts w:ascii="方正仿宋简体" w:hAnsi="Times New Roman" w:eastAsia="方正仿宋简体" w:cs="Times New Roman"/>
          <w:b w:val="0"/>
        </w:rPr>
      </w:pPr>
      <w:bookmarkStart w:id="54" w:name="_Toc15396620"/>
      <w:r>
        <w:rPr>
          <w:rFonts w:hint="eastAsia" w:ascii="方正仿宋简体" w:hAnsi="Times New Roman" w:eastAsia="方正仿宋简体" w:cs="Times New Roman"/>
          <w:b w:val="0"/>
        </w:rPr>
        <w:t>　　二、收</w:t>
      </w:r>
      <w:r>
        <w:rPr>
          <w:rStyle w:val="13"/>
          <w:rFonts w:hint="eastAsia" w:ascii="方正仿宋简体" w:hAnsi="Times New Roman" w:eastAsia="方正仿宋简体" w:cs="Times New Roman"/>
          <w:b w:val="0"/>
          <w:bCs/>
        </w:rPr>
        <w:t>入决算表</w:t>
      </w:r>
      <w:bookmarkEnd w:id="54"/>
    </w:p>
    <w:p w14:paraId="49DB798C">
      <w:pPr>
        <w:pStyle w:val="4"/>
        <w:spacing w:before="0" w:after="0" w:line="560" w:lineRule="exact"/>
        <w:rPr>
          <w:rFonts w:ascii="方正仿宋简体" w:hAnsi="Times New Roman" w:eastAsia="方正仿宋简体" w:cs="Times New Roman"/>
          <w:b w:val="0"/>
        </w:rPr>
      </w:pPr>
      <w:bookmarkStart w:id="55" w:name="_Toc15396621"/>
      <w:r>
        <w:rPr>
          <w:rStyle w:val="13"/>
          <w:rFonts w:hint="eastAsia" w:ascii="方正仿宋简体" w:hAnsi="Times New Roman" w:eastAsia="方正仿宋简体" w:cs="Times New Roman"/>
          <w:b w:val="0"/>
          <w:bCs/>
        </w:rPr>
        <w:t>　　三、</w:t>
      </w:r>
      <w:r>
        <w:rPr>
          <w:rFonts w:hint="eastAsia" w:ascii="方正仿宋简体" w:hAnsi="Times New Roman" w:eastAsia="方正仿宋简体" w:cs="Times New Roman"/>
          <w:b w:val="0"/>
        </w:rPr>
        <w:t>支</w:t>
      </w:r>
      <w:r>
        <w:rPr>
          <w:rStyle w:val="13"/>
          <w:rFonts w:hint="eastAsia" w:ascii="方正仿宋简体" w:hAnsi="Times New Roman" w:eastAsia="方正仿宋简体" w:cs="Times New Roman"/>
          <w:b w:val="0"/>
          <w:bCs/>
        </w:rPr>
        <w:t>出决算表</w:t>
      </w:r>
      <w:bookmarkEnd w:id="55"/>
    </w:p>
    <w:p w14:paraId="660CFCC6">
      <w:pPr>
        <w:pStyle w:val="4"/>
        <w:spacing w:before="0" w:after="0" w:line="560" w:lineRule="exact"/>
        <w:rPr>
          <w:rFonts w:ascii="方正仿宋简体" w:hAnsi="Times New Roman" w:eastAsia="方正仿宋简体" w:cs="Times New Roman"/>
          <w:b w:val="0"/>
        </w:rPr>
      </w:pPr>
      <w:bookmarkStart w:id="56" w:name="_Toc15396622"/>
      <w:r>
        <w:rPr>
          <w:rStyle w:val="13"/>
          <w:rFonts w:hint="eastAsia" w:ascii="方正仿宋简体" w:hAnsi="Times New Roman" w:eastAsia="方正仿宋简体" w:cs="Times New Roman"/>
          <w:b w:val="0"/>
          <w:bCs/>
        </w:rPr>
        <w:t>　　四、</w:t>
      </w:r>
      <w:r>
        <w:rPr>
          <w:rFonts w:hint="eastAsia" w:ascii="方正仿宋简体" w:hAnsi="Times New Roman" w:eastAsia="方正仿宋简体" w:cs="Times New Roman"/>
          <w:b w:val="0"/>
        </w:rPr>
        <w:t>财</w:t>
      </w:r>
      <w:r>
        <w:rPr>
          <w:rStyle w:val="13"/>
          <w:rFonts w:hint="eastAsia" w:ascii="方正仿宋简体" w:hAnsi="Times New Roman" w:eastAsia="方正仿宋简体" w:cs="Times New Roman"/>
          <w:b w:val="0"/>
          <w:bCs/>
        </w:rPr>
        <w:t>政拨款收入支出决算总表</w:t>
      </w:r>
      <w:bookmarkEnd w:id="56"/>
    </w:p>
    <w:p w14:paraId="57B60943">
      <w:pPr>
        <w:pStyle w:val="4"/>
        <w:spacing w:before="0" w:after="0" w:line="560" w:lineRule="exact"/>
        <w:rPr>
          <w:rStyle w:val="13"/>
          <w:rFonts w:ascii="方正仿宋简体" w:hAnsi="Times New Roman" w:eastAsia="方正仿宋简体" w:cs="Times New Roman"/>
          <w:b w:val="0"/>
          <w:bCs/>
        </w:rPr>
      </w:pPr>
      <w:bookmarkStart w:id="57" w:name="_Toc15396623"/>
      <w:r>
        <w:rPr>
          <w:rStyle w:val="13"/>
          <w:rFonts w:hint="eastAsia" w:ascii="方正仿宋简体" w:hAnsi="Times New Roman" w:eastAsia="方正仿宋简体" w:cs="Times New Roman"/>
          <w:b w:val="0"/>
          <w:bCs/>
        </w:rPr>
        <w:t>　　五、</w:t>
      </w:r>
      <w:r>
        <w:rPr>
          <w:rFonts w:hint="eastAsia" w:ascii="方正仿宋简体" w:hAnsi="Times New Roman" w:eastAsia="方正仿宋简体" w:cs="Times New Roman"/>
          <w:b w:val="0"/>
        </w:rPr>
        <w:t>财</w:t>
      </w:r>
      <w:r>
        <w:rPr>
          <w:rStyle w:val="13"/>
          <w:rFonts w:hint="eastAsia" w:ascii="方正仿宋简体" w:hAnsi="Times New Roman" w:eastAsia="方正仿宋简体" w:cs="Times New Roman"/>
          <w:b w:val="0"/>
          <w:bCs/>
        </w:rPr>
        <w:t>政拨款支出决算明细表</w:t>
      </w:r>
      <w:bookmarkEnd w:id="57"/>
      <w:bookmarkStart w:id="58" w:name="_Toc15396624"/>
    </w:p>
    <w:p w14:paraId="72BB9F9F">
      <w:pPr>
        <w:pStyle w:val="4"/>
        <w:spacing w:before="0" w:after="0" w:line="560" w:lineRule="exact"/>
        <w:rPr>
          <w:rFonts w:ascii="方正仿宋简体" w:hAnsi="Times New Roman" w:eastAsia="方正仿宋简体" w:cs="Times New Roman"/>
          <w:b w:val="0"/>
        </w:rPr>
      </w:pPr>
      <w:r>
        <w:rPr>
          <w:rStyle w:val="13"/>
          <w:rFonts w:hint="eastAsia" w:ascii="方正仿宋简体" w:hAnsi="Times New Roman" w:eastAsia="方正仿宋简体" w:cs="Times New Roman"/>
          <w:b w:val="0"/>
          <w:bCs/>
        </w:rPr>
        <w:t>　　六、</w:t>
      </w:r>
      <w:r>
        <w:rPr>
          <w:rFonts w:hint="eastAsia" w:ascii="方正仿宋简体" w:hAnsi="Times New Roman" w:eastAsia="方正仿宋简体" w:cs="Times New Roman"/>
          <w:b w:val="0"/>
        </w:rPr>
        <w:t>一</w:t>
      </w:r>
      <w:r>
        <w:rPr>
          <w:rStyle w:val="13"/>
          <w:rFonts w:hint="eastAsia" w:ascii="方正仿宋简体" w:hAnsi="Times New Roman" w:eastAsia="方正仿宋简体" w:cs="Times New Roman"/>
          <w:b w:val="0"/>
          <w:bCs/>
        </w:rPr>
        <w:t>般公共预算财政拨款支出决算表</w:t>
      </w:r>
      <w:bookmarkEnd w:id="58"/>
    </w:p>
    <w:p w14:paraId="016E8F28">
      <w:pPr>
        <w:pStyle w:val="4"/>
        <w:spacing w:before="0" w:after="0" w:line="560" w:lineRule="exact"/>
        <w:rPr>
          <w:rFonts w:ascii="方正仿宋简体" w:hAnsi="Times New Roman" w:eastAsia="方正仿宋简体" w:cs="Times New Roman"/>
          <w:b w:val="0"/>
        </w:rPr>
      </w:pPr>
      <w:bookmarkStart w:id="59" w:name="_Toc15396625"/>
      <w:r>
        <w:rPr>
          <w:rStyle w:val="13"/>
          <w:rFonts w:hint="eastAsia" w:ascii="方正仿宋简体" w:hAnsi="Times New Roman" w:eastAsia="方正仿宋简体" w:cs="Times New Roman"/>
          <w:b w:val="0"/>
          <w:bCs/>
        </w:rPr>
        <w:t>　　七、</w:t>
      </w:r>
      <w:r>
        <w:rPr>
          <w:rFonts w:hint="eastAsia" w:ascii="方正仿宋简体" w:hAnsi="Times New Roman" w:eastAsia="方正仿宋简体" w:cs="Times New Roman"/>
          <w:b w:val="0"/>
        </w:rPr>
        <w:t>一</w:t>
      </w:r>
      <w:r>
        <w:rPr>
          <w:rStyle w:val="13"/>
          <w:rFonts w:hint="eastAsia" w:ascii="方正仿宋简体" w:hAnsi="Times New Roman" w:eastAsia="方正仿宋简体" w:cs="Times New Roman"/>
          <w:b w:val="0"/>
          <w:bCs/>
        </w:rPr>
        <w:t>般公共预算财政拨款支出决算明细表</w:t>
      </w:r>
      <w:bookmarkEnd w:id="59"/>
    </w:p>
    <w:p w14:paraId="47ED3955">
      <w:pPr>
        <w:pStyle w:val="4"/>
        <w:spacing w:before="0" w:after="0" w:line="560" w:lineRule="exact"/>
        <w:rPr>
          <w:rFonts w:ascii="方正仿宋简体" w:hAnsi="Times New Roman" w:eastAsia="方正仿宋简体" w:cs="Times New Roman"/>
          <w:b w:val="0"/>
        </w:rPr>
      </w:pPr>
      <w:bookmarkStart w:id="60" w:name="_Toc15396626"/>
      <w:r>
        <w:rPr>
          <w:rStyle w:val="13"/>
          <w:rFonts w:hint="eastAsia" w:ascii="方正仿宋简体" w:hAnsi="Times New Roman" w:eastAsia="方正仿宋简体" w:cs="Times New Roman"/>
          <w:b w:val="0"/>
          <w:bCs/>
        </w:rPr>
        <w:t>　　八、</w:t>
      </w:r>
      <w:r>
        <w:rPr>
          <w:rFonts w:hint="eastAsia" w:ascii="方正仿宋简体" w:hAnsi="Times New Roman" w:eastAsia="方正仿宋简体" w:cs="Times New Roman"/>
          <w:b w:val="0"/>
        </w:rPr>
        <w:t>一</w:t>
      </w:r>
      <w:r>
        <w:rPr>
          <w:rStyle w:val="13"/>
          <w:rFonts w:hint="eastAsia" w:ascii="方正仿宋简体" w:hAnsi="Times New Roman" w:eastAsia="方正仿宋简体" w:cs="Times New Roman"/>
          <w:b w:val="0"/>
          <w:bCs/>
        </w:rPr>
        <w:t>般公共预算财政拨款基本支出决算表</w:t>
      </w:r>
      <w:bookmarkEnd w:id="60"/>
    </w:p>
    <w:p w14:paraId="0789D96E">
      <w:pPr>
        <w:pStyle w:val="4"/>
        <w:spacing w:before="0" w:after="0" w:line="560" w:lineRule="exact"/>
        <w:rPr>
          <w:rFonts w:ascii="方正仿宋简体" w:hAnsi="Times New Roman" w:eastAsia="方正仿宋简体" w:cs="Times New Roman"/>
          <w:b w:val="0"/>
        </w:rPr>
      </w:pPr>
      <w:bookmarkStart w:id="61" w:name="_Toc15396627"/>
      <w:r>
        <w:rPr>
          <w:rStyle w:val="13"/>
          <w:rFonts w:hint="eastAsia" w:ascii="方正仿宋简体" w:hAnsi="Times New Roman" w:eastAsia="方正仿宋简体" w:cs="Times New Roman"/>
          <w:b w:val="0"/>
          <w:bCs/>
        </w:rPr>
        <w:t>　　九、</w:t>
      </w:r>
      <w:r>
        <w:rPr>
          <w:rFonts w:hint="eastAsia" w:ascii="方正仿宋简体" w:hAnsi="Times New Roman" w:eastAsia="方正仿宋简体" w:cs="Times New Roman"/>
          <w:b w:val="0"/>
        </w:rPr>
        <w:t>一</w:t>
      </w:r>
      <w:r>
        <w:rPr>
          <w:rStyle w:val="13"/>
          <w:rFonts w:hint="eastAsia" w:ascii="方正仿宋简体" w:hAnsi="Times New Roman" w:eastAsia="方正仿宋简体" w:cs="Times New Roman"/>
          <w:b w:val="0"/>
          <w:bCs/>
        </w:rPr>
        <w:t>般公共预算财政拨款项目支出决算表</w:t>
      </w:r>
      <w:bookmarkEnd w:id="61"/>
    </w:p>
    <w:p w14:paraId="083449D4">
      <w:pPr>
        <w:pStyle w:val="4"/>
        <w:spacing w:before="0" w:after="0" w:line="560" w:lineRule="exact"/>
        <w:rPr>
          <w:rFonts w:ascii="方正仿宋简体" w:hAnsi="Times New Roman" w:eastAsia="方正仿宋简体" w:cs="Times New Roman"/>
          <w:b w:val="0"/>
        </w:rPr>
      </w:pPr>
      <w:bookmarkStart w:id="62" w:name="_Toc15396628"/>
      <w:r>
        <w:rPr>
          <w:rStyle w:val="13"/>
          <w:rFonts w:hint="eastAsia" w:ascii="方正仿宋简体" w:hAnsi="Times New Roman" w:eastAsia="方正仿宋简体" w:cs="Times New Roman"/>
          <w:b w:val="0"/>
          <w:bCs/>
        </w:rPr>
        <w:t>　　十、</w:t>
      </w:r>
      <w:bookmarkEnd w:id="62"/>
      <w:r>
        <w:rPr>
          <w:rFonts w:hint="eastAsia" w:ascii="方正仿宋简体" w:hAnsi="Times New Roman" w:eastAsia="方正仿宋简体" w:cs="Times New Roman"/>
          <w:b w:val="0"/>
        </w:rPr>
        <w:t>政</w:t>
      </w:r>
      <w:r>
        <w:rPr>
          <w:rStyle w:val="13"/>
          <w:rFonts w:hint="eastAsia" w:ascii="方正仿宋简体" w:hAnsi="Times New Roman" w:eastAsia="方正仿宋简体" w:cs="Times New Roman"/>
          <w:b w:val="0"/>
          <w:bCs/>
        </w:rPr>
        <w:t>府性基金预算财政拨款收入支出决算表</w:t>
      </w:r>
    </w:p>
    <w:p w14:paraId="19EDDB92">
      <w:pPr>
        <w:pStyle w:val="4"/>
        <w:spacing w:before="0" w:after="0" w:line="560" w:lineRule="exact"/>
        <w:rPr>
          <w:rFonts w:ascii="方正仿宋简体" w:hAnsi="Times New Roman" w:eastAsia="方正仿宋简体" w:cs="Times New Roman"/>
          <w:b w:val="0"/>
        </w:rPr>
      </w:pPr>
      <w:bookmarkStart w:id="63" w:name="_Toc15396629"/>
      <w:r>
        <w:rPr>
          <w:rStyle w:val="13"/>
          <w:rFonts w:hint="eastAsia" w:ascii="方正仿宋简体" w:hAnsi="Times New Roman" w:eastAsia="方正仿宋简体" w:cs="Times New Roman"/>
          <w:b w:val="0"/>
          <w:bCs/>
        </w:rPr>
        <w:t>　　十一、</w:t>
      </w:r>
      <w:bookmarkEnd w:id="63"/>
      <w:r>
        <w:rPr>
          <w:rFonts w:hint="eastAsia" w:ascii="方正仿宋简体" w:hAnsi="Times New Roman" w:eastAsia="方正仿宋简体" w:cs="Times New Roman"/>
          <w:b w:val="0"/>
        </w:rPr>
        <w:t>国</w:t>
      </w:r>
      <w:r>
        <w:rPr>
          <w:rStyle w:val="13"/>
          <w:rFonts w:hint="eastAsia" w:ascii="方正仿宋简体" w:hAnsi="Times New Roman" w:eastAsia="方正仿宋简体" w:cs="Times New Roman"/>
          <w:b w:val="0"/>
          <w:bCs/>
        </w:rPr>
        <w:t>有资本经营预算财政拨款收入支出决算表</w:t>
      </w:r>
    </w:p>
    <w:p w14:paraId="06DB7A54">
      <w:pPr>
        <w:pStyle w:val="4"/>
        <w:spacing w:before="0" w:after="0" w:line="560" w:lineRule="exact"/>
        <w:rPr>
          <w:rFonts w:ascii="方正仿宋简体" w:hAnsi="Times New Roman" w:eastAsia="方正仿宋简体" w:cs="Times New Roman"/>
          <w:b w:val="0"/>
        </w:rPr>
      </w:pPr>
      <w:bookmarkStart w:id="64" w:name="_Toc15396630"/>
      <w:r>
        <w:rPr>
          <w:rStyle w:val="13"/>
          <w:rFonts w:hint="eastAsia" w:ascii="方正仿宋简体" w:hAnsi="Times New Roman" w:eastAsia="方正仿宋简体" w:cs="Times New Roman"/>
          <w:b w:val="0"/>
          <w:bCs/>
        </w:rPr>
        <w:t>　　十二、</w:t>
      </w:r>
      <w:bookmarkEnd w:id="64"/>
      <w:r>
        <w:rPr>
          <w:rStyle w:val="13"/>
          <w:rFonts w:hint="eastAsia" w:ascii="方正仿宋简体" w:hAnsi="Times New Roman" w:eastAsia="方正仿宋简体" w:cs="Times New Roman"/>
          <w:b w:val="0"/>
          <w:bCs/>
        </w:rPr>
        <w:t>国有资本经营预算财政拨款支出决算表</w:t>
      </w:r>
    </w:p>
    <w:p w14:paraId="1D8C4B5F">
      <w:pPr>
        <w:pStyle w:val="4"/>
        <w:spacing w:before="0" w:after="0" w:line="560" w:lineRule="exact"/>
        <w:rPr>
          <w:rFonts w:ascii="方正仿宋简体" w:hAnsi="Times New Roman" w:eastAsia="方正仿宋简体" w:cs="Times New Roman"/>
          <w:b w:val="0"/>
        </w:rPr>
      </w:pPr>
      <w:bookmarkStart w:id="65" w:name="_Toc15396631"/>
      <w:r>
        <w:rPr>
          <w:rStyle w:val="13"/>
          <w:rFonts w:hint="eastAsia" w:ascii="方正仿宋简体" w:hAnsi="Times New Roman" w:eastAsia="方正仿宋简体" w:cs="Times New Roman"/>
          <w:b w:val="0"/>
          <w:bCs/>
        </w:rPr>
        <w:t>　　十三、</w:t>
      </w:r>
      <w:bookmarkEnd w:id="65"/>
      <w:r>
        <w:rPr>
          <w:rStyle w:val="13"/>
          <w:rFonts w:hint="eastAsia" w:ascii="方正仿宋简体" w:hAnsi="Times New Roman" w:eastAsia="方正仿宋简体" w:cs="Times New Roman"/>
          <w:b w:val="0"/>
          <w:bCs/>
        </w:rPr>
        <w:t>财政拨款“三公”经费支出决算表</w:t>
      </w:r>
    </w:p>
    <w:p w14:paraId="16AE28F5">
      <w:pPr>
        <w:pStyle w:val="2"/>
        <w:spacing w:before="93"/>
        <w:rPr>
          <w:rFonts w:ascii="方正仿宋简体" w:eastAsia="方正仿宋简体"/>
        </w:rPr>
      </w:pPr>
    </w:p>
    <w:p w14:paraId="4C3861FF">
      <w:pPr>
        <w:pStyle w:val="2"/>
        <w:spacing w:before="93"/>
        <w:rPr>
          <w:rFonts w:ascii="方正仿宋简体" w:eastAsia="方正仿宋简体"/>
        </w:rPr>
      </w:pPr>
    </w:p>
    <w:p w14:paraId="69010693">
      <w:pPr>
        <w:pStyle w:val="2"/>
        <w:spacing w:before="93"/>
        <w:rPr>
          <w:rFonts w:ascii="方正仿宋简体" w:eastAsia="方正仿宋简体"/>
        </w:rPr>
      </w:pPr>
    </w:p>
    <w:p w14:paraId="55640D59">
      <w:pPr>
        <w:pStyle w:val="2"/>
        <w:spacing w:before="93"/>
        <w:rPr>
          <w:rFonts w:ascii="方正仿宋简体" w:eastAsia="方正仿宋简体"/>
        </w:rPr>
        <w:sectPr>
          <w:footerReference r:id="rId6" w:type="first"/>
          <w:headerReference r:id="rId3" w:type="default"/>
          <w:footerReference r:id="rId4" w:type="default"/>
          <w:footerReference r:id="rId5" w:type="even"/>
          <w:pgSz w:w="11906" w:h="16838"/>
          <w:pgMar w:top="2098" w:right="1474" w:bottom="1985" w:left="1588" w:header="851" w:footer="992" w:gutter="0"/>
          <w:pgNumType w:fmt="numberInDash" w:start="1"/>
          <w:cols w:space="425" w:num="1"/>
          <w:titlePg/>
          <w:docGrid w:type="lines" w:linePitch="312" w:charSpace="0"/>
        </w:sectPr>
      </w:pPr>
    </w:p>
    <w:p w14:paraId="55462273">
      <w:pPr>
        <w:pStyle w:val="2"/>
        <w:spacing w:before="173"/>
        <w:rPr>
          <w:rFonts w:ascii="方正仿宋简体" w:eastAsia="方正仿宋简体"/>
        </w:rPr>
      </w:pPr>
    </w:p>
    <w:p w14:paraId="1DA44431">
      <w:pPr>
        <w:pStyle w:val="2"/>
        <w:spacing w:before="173"/>
        <w:rPr>
          <w:rFonts w:ascii="方正仿宋简体" w:eastAsia="方正仿宋简体"/>
        </w:rPr>
      </w:pPr>
    </w:p>
    <w:p w14:paraId="35931CEB">
      <w:pPr>
        <w:pStyle w:val="2"/>
        <w:spacing w:before="173"/>
        <w:rPr>
          <w:rFonts w:ascii="方正仿宋简体" w:eastAsia="方正仿宋简体"/>
        </w:rPr>
      </w:pPr>
    </w:p>
    <w:p w14:paraId="2EDC2B2D">
      <w:pPr>
        <w:pStyle w:val="2"/>
        <w:spacing w:before="173"/>
        <w:rPr>
          <w:rFonts w:ascii="方正仿宋简体" w:eastAsia="方正仿宋简体"/>
        </w:rPr>
      </w:pPr>
    </w:p>
    <w:p w14:paraId="45D4D8CF">
      <w:pPr>
        <w:pStyle w:val="2"/>
        <w:spacing w:before="173"/>
        <w:rPr>
          <w:rFonts w:ascii="方正仿宋简体" w:eastAsia="方正仿宋简体"/>
        </w:rPr>
      </w:pPr>
    </w:p>
    <w:p w14:paraId="1A49A7DB">
      <w:pPr>
        <w:pStyle w:val="2"/>
        <w:spacing w:before="173"/>
        <w:rPr>
          <w:rFonts w:ascii="方正仿宋简体" w:eastAsia="方正仿宋简体"/>
        </w:rPr>
      </w:pPr>
    </w:p>
    <w:p w14:paraId="58B4039B">
      <w:pPr>
        <w:pStyle w:val="2"/>
        <w:spacing w:before="173"/>
        <w:rPr>
          <w:rFonts w:ascii="方正仿宋简体" w:eastAsia="方正仿宋简体"/>
        </w:rPr>
      </w:pPr>
    </w:p>
    <w:p w14:paraId="1BC43631">
      <w:pPr>
        <w:pStyle w:val="2"/>
        <w:spacing w:before="173"/>
        <w:rPr>
          <w:rFonts w:ascii="方正仿宋简体" w:eastAsia="方正仿宋简体"/>
        </w:rPr>
      </w:pPr>
    </w:p>
    <w:p w14:paraId="626E869A">
      <w:pPr>
        <w:pStyle w:val="2"/>
        <w:spacing w:before="173"/>
        <w:rPr>
          <w:rFonts w:ascii="方正仿宋简体" w:eastAsia="方正仿宋简体"/>
        </w:rPr>
      </w:pPr>
    </w:p>
    <w:p w14:paraId="2D59A34C">
      <w:pPr>
        <w:pStyle w:val="2"/>
        <w:spacing w:before="173"/>
        <w:rPr>
          <w:rFonts w:ascii="方正仿宋简体" w:eastAsia="方正仿宋简体"/>
        </w:rPr>
      </w:pPr>
    </w:p>
    <w:p w14:paraId="70AC9D37">
      <w:pPr>
        <w:pStyle w:val="2"/>
        <w:spacing w:before="173"/>
        <w:rPr>
          <w:rFonts w:ascii="方正仿宋简体" w:eastAsia="方正仿宋简体"/>
        </w:rPr>
      </w:pPr>
    </w:p>
    <w:p w14:paraId="2213D78C">
      <w:pPr>
        <w:pStyle w:val="2"/>
        <w:spacing w:before="173"/>
        <w:rPr>
          <w:rFonts w:ascii="方正仿宋简体" w:eastAsia="方正仿宋简体"/>
        </w:rPr>
      </w:pPr>
    </w:p>
    <w:p w14:paraId="62FD4E72">
      <w:pPr>
        <w:pStyle w:val="2"/>
        <w:spacing w:before="173"/>
        <w:rPr>
          <w:rFonts w:ascii="方正仿宋简体" w:eastAsia="方正仿宋简体"/>
        </w:rPr>
      </w:pPr>
    </w:p>
    <w:p w14:paraId="3087B9CF">
      <w:pPr>
        <w:spacing w:line="440" w:lineRule="exact"/>
        <w:rPr>
          <w:rFonts w:ascii="仿宋" w:hAnsi="仿宋"/>
          <w:sz w:val="28"/>
          <w:szCs w:val="28"/>
        </w:rPr>
      </w:pPr>
    </w:p>
    <w:p w14:paraId="237C3845">
      <w:pPr>
        <w:spacing w:line="440" w:lineRule="exact"/>
        <w:rPr>
          <w:rFonts w:eastAsia="方正黑体简体"/>
          <w:sz w:val="28"/>
          <w:szCs w:val="28"/>
        </w:rPr>
      </w:pPr>
    </w:p>
    <w:p w14:paraId="3EC9D81D">
      <w:pPr>
        <w:spacing w:line="440" w:lineRule="exact"/>
        <w:rPr>
          <w:rFonts w:eastAsia="方正黑体简体"/>
          <w:sz w:val="28"/>
          <w:szCs w:val="28"/>
        </w:rPr>
      </w:pPr>
    </w:p>
    <w:p w14:paraId="261C9D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DB86A">
    <w:pPr>
      <w:pStyle w:val="5"/>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- 2 -</w:t>
    </w:r>
    <w:r>
      <w:rPr>
        <w:rFonts w:ascii="仿宋" w:hAnsi="仿宋" w:eastAsia="仿宋"/>
        <w:sz w:val="28"/>
        <w:szCs w:val="28"/>
      </w:rPr>
      <w:fldChar w:fldCharType="end"/>
    </w:r>
  </w:p>
  <w:p w14:paraId="61910B27">
    <w:pPr>
      <w:pStyle w:val="5"/>
      <w:jc w:val="center"/>
    </w:pPr>
  </w:p>
  <w:p w14:paraId="1465CA8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E31A7">
    <w:pPr>
      <w:pStyle w:val="5"/>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319CB">
    <w:pPr>
      <w:pStyle w:val="5"/>
      <w:ind w:right="280"/>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rPr>
      <w:t>- 2 -</w:t>
    </w:r>
    <w:r>
      <w:rPr>
        <w:rFonts w:ascii="仿宋" w:hAnsi="仿宋" w:eastAsia="仿宋"/>
        <w:sz w:val="28"/>
        <w:szCs w:val="28"/>
      </w:rPr>
      <w:fldChar w:fldCharType="end"/>
    </w:r>
  </w:p>
  <w:p w14:paraId="4C3403C5">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90DB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C8D77"/>
    <w:multiLevelType w:val="singleLevel"/>
    <w:tmpl w:val="8F2C8D77"/>
    <w:lvl w:ilvl="0" w:tentative="0">
      <w:start w:val="4"/>
      <w:numFmt w:val="chineseCounting"/>
      <w:suff w:val="nothing"/>
      <w:lvlText w:val="（%1）"/>
      <w:lvlJc w:val="left"/>
      <w:rPr>
        <w:rFonts w:hint="eastAsia"/>
      </w:rPr>
    </w:lvl>
  </w:abstractNum>
  <w:abstractNum w:abstractNumId="1">
    <w:nsid w:val="00045192"/>
    <w:multiLevelType w:val="multilevel"/>
    <w:tmpl w:val="0004519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NjBkOGE1YzVlMWI0NzhkMzc3NDZiOGRkOThmMjYifQ=="/>
  </w:docVars>
  <w:rsids>
    <w:rsidRoot w:val="00000000"/>
    <w:rsid w:val="091D0DD3"/>
    <w:rsid w:val="0B110CA7"/>
    <w:rsid w:val="19623755"/>
    <w:rsid w:val="218D2C21"/>
    <w:rsid w:val="375A4E1C"/>
    <w:rsid w:val="42A258CA"/>
    <w:rsid w:val="43523885"/>
    <w:rsid w:val="47C167F2"/>
    <w:rsid w:val="4C8015A5"/>
    <w:rsid w:val="523D116B"/>
    <w:rsid w:val="7CEA5772"/>
    <w:rsid w:val="7F3E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character" w:styleId="11">
    <w:name w:val="Strong"/>
    <w:basedOn w:val="10"/>
    <w:qFormat/>
    <w:uiPriority w:val="99"/>
    <w:rPr>
      <w:b/>
    </w:rPr>
  </w:style>
  <w:style w:type="character" w:customStyle="1" w:styleId="12">
    <w:name w:val="标题 1 Char"/>
    <w:basedOn w:val="10"/>
    <w:link w:val="3"/>
    <w:qFormat/>
    <w:uiPriority w:val="9"/>
    <w:rPr>
      <w:b/>
      <w:bCs/>
      <w:kern w:val="44"/>
      <w:sz w:val="44"/>
      <w:szCs w:val="44"/>
    </w:rPr>
  </w:style>
  <w:style w:type="character" w:customStyle="1" w:styleId="13">
    <w:name w:val="标题 2 Char"/>
    <w:basedOn w:val="10"/>
    <w:link w:val="4"/>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style>
  <w:style w:type="paragraph" w:customStyle="1" w:styleId="1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9709295320121"/>
          <c:y val="0.0611709073555888"/>
          <c:w val="0.901754286702187"/>
          <c:h val="0.796423504913126"/>
        </c:manualLayout>
      </c:layout>
      <c:barChart>
        <c:barDir val="col"/>
        <c:grouping val="stacked"/>
        <c:varyColors val="0"/>
        <c:ser>
          <c:idx val="0"/>
          <c:order val="0"/>
          <c:tx>
            <c:strRef>
              <c:f>Sheet1!$B$2</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Sheet1!$A$3:$A$6</c:f>
              <c:strCache>
                <c:ptCount val="4"/>
                <c:pt idx="0">
                  <c:v>2022年</c:v>
                </c:pt>
                <c:pt idx="1">
                  <c:v>2023年</c:v>
                </c:pt>
              </c:strCache>
            </c:strRef>
          </c:cat>
          <c:val>
            <c:numRef>
              <c:f>Sheet1!$B$3:$B$6</c:f>
              <c:numCache>
                <c:formatCode>General</c:formatCode>
                <c:ptCount val="4"/>
                <c:pt idx="0">
                  <c:v>337.5</c:v>
                </c:pt>
                <c:pt idx="1">
                  <c:v>429.74</c:v>
                </c:pt>
              </c:numCache>
            </c:numRef>
          </c:val>
        </c:ser>
        <c:dLbls>
          <c:showLegendKey val="0"/>
          <c:showVal val="1"/>
          <c:showCatName val="0"/>
          <c:showSerName val="0"/>
          <c:showPercent val="0"/>
          <c:showBubbleSize val="0"/>
        </c:dLbls>
        <c:gapWidth val="79"/>
        <c:axId val="137226496"/>
        <c:axId val="80949248"/>
      </c:barChart>
      <c:catAx>
        <c:axId val="13722649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80949248"/>
        <c:crosses val="autoZero"/>
        <c:auto val="1"/>
        <c:lblAlgn val="ctr"/>
        <c:lblOffset val="100"/>
        <c:noMultiLvlLbl val="0"/>
      </c:catAx>
      <c:valAx>
        <c:axId val="80949248"/>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722649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0731119136423737"/>
          <c:y val="0.151241468051194"/>
          <c:w val="0.812188144576146"/>
          <c:h val="0.729063867016623"/>
        </c:manualLayout>
      </c:layout>
      <c:pie3DChart>
        <c:varyColors val="1"/>
        <c:ser>
          <c:idx val="0"/>
          <c:order val="0"/>
          <c:tx>
            <c:strRef>
              <c:f>Sheet1!$B$2</c:f>
              <c:strCache>
                <c:ptCount val="1"/>
                <c:pt idx="0">
                  <c:v>列1</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Sheet1!$A$3</c:f>
              <c:strCache>
                <c:ptCount val="1"/>
                <c:pt idx="0">
                  <c:v>一般公共预算财政拨款收入</c:v>
                </c:pt>
              </c:strCache>
            </c:strRef>
          </c:cat>
          <c:val>
            <c:numRef>
              <c:f>Sheet1!$B$3</c:f>
              <c:numCache>
                <c:formatCode>0%</c:formatCode>
                <c:ptCount val="1"/>
                <c:pt idx="0">
                  <c:v>1</c:v>
                </c:pt>
              </c:numCache>
            </c:numRef>
          </c:val>
        </c:ser>
        <c:dLbls>
          <c:showLegendKey val="0"/>
          <c:showVal val="0"/>
          <c:showCatName val="1"/>
          <c:showSerName val="0"/>
          <c:showPercent val="1"/>
          <c:showBubbleSize val="0"/>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
</a:t>
            </a:r>
            <a:endParaRPr lang="zh-CN" altLang="en-US"/>
          </a:p>
        </c:rich>
      </c:tx>
      <c:layout/>
      <c:overlay val="0"/>
    </c:title>
    <c:autoTitleDeleted val="0"/>
    <c:view3D>
      <c:rotX val="30"/>
      <c:rotY val="0"/>
      <c:depthPercent val="100"/>
      <c:rAngAx val="0"/>
      <c:perspective val="3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Sheet1!$B$1</c:f>
              <c:strCache>
                <c:ptCount val="1"/>
                <c:pt idx="0">
                  <c:v>图3：支出决算结构图
</c:v>
                </c:pt>
              </c:strCache>
            </c:strRef>
          </c:tx>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基本支出，</a:t>
                    </a:r>
                    <a:r>
                      <a:rPr lang="en-US" altLang="zh-CN"/>
                      <a:t>76.71%
</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项目支出，</a:t>
                    </a:r>
                    <a:r>
                      <a:rPr lang="en-US" altLang="zh-CN"/>
                      <a:t>23.29%
</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基本支出，76.71%</c:v>
                </c:pt>
                <c:pt idx="1">
                  <c:v>项目支出，23.29%</c:v>
                </c:pt>
              </c:strCache>
            </c:strRef>
          </c:cat>
          <c:val>
            <c:numRef>
              <c:f>Sheet1!$B$2:$B$3</c:f>
              <c:numCache>
                <c:formatCode>0.00%</c:formatCode>
                <c:ptCount val="2"/>
                <c:pt idx="0">
                  <c:v>0.7671</c:v>
                </c:pt>
                <c:pt idx="1">
                  <c:v>0.2329</c:v>
                </c:pt>
              </c:numCache>
            </c:numRef>
          </c:val>
        </c:ser>
        <c:dLbls>
          <c:showLegendKey val="0"/>
          <c:showVal val="0"/>
          <c:showCatName val="1"/>
          <c:showSerName val="0"/>
          <c:showPercent val="1"/>
          <c:showBubbleSize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9709295320121"/>
          <c:y val="0.0611709073555888"/>
          <c:w val="0.901754286702187"/>
          <c:h val="0.796423504913126"/>
        </c:manualLayout>
      </c:layout>
      <c:barChart>
        <c:barDir val="col"/>
        <c:grouping val="stacked"/>
        <c:varyColors val="0"/>
        <c:ser>
          <c:idx val="0"/>
          <c:order val="0"/>
          <c:tx>
            <c:strRef>
              <c:f>Sheet1!$B$2</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Sheet1!$A$3:$A$6</c:f>
              <c:strCache>
                <c:ptCount val="4"/>
                <c:pt idx="0">
                  <c:v>2022年</c:v>
                </c:pt>
                <c:pt idx="1">
                  <c:v>2023年</c:v>
                </c:pt>
              </c:strCache>
            </c:strRef>
          </c:cat>
          <c:val>
            <c:numRef>
              <c:f>Sheet1!$B$3:$B$6</c:f>
              <c:numCache>
                <c:formatCode>General</c:formatCode>
                <c:ptCount val="4"/>
                <c:pt idx="0">
                  <c:v>337.5</c:v>
                </c:pt>
                <c:pt idx="1">
                  <c:v>429.74</c:v>
                </c:pt>
              </c:numCache>
            </c:numRef>
          </c:val>
        </c:ser>
        <c:dLbls>
          <c:showLegendKey val="0"/>
          <c:showVal val="1"/>
          <c:showCatName val="0"/>
          <c:showSerName val="0"/>
          <c:showPercent val="0"/>
          <c:showBubbleSize val="0"/>
        </c:dLbls>
        <c:gapWidth val="79"/>
        <c:axId val="145212544"/>
        <c:axId val="145214080"/>
      </c:barChart>
      <c:catAx>
        <c:axId val="145212544"/>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45214080"/>
        <c:crosses val="autoZero"/>
        <c:auto val="1"/>
        <c:lblAlgn val="ctr"/>
        <c:lblOffset val="100"/>
        <c:noMultiLvlLbl val="0"/>
      </c:catAx>
      <c:valAx>
        <c:axId val="14521408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21254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9708978302271"/>
          <c:y val="0.06117091936153"/>
          <c:w val="0.901754286702187"/>
          <c:h val="0.796423504913126"/>
        </c:manualLayout>
      </c:layout>
      <c:barChart>
        <c:barDir val="col"/>
        <c:grouping val="stacked"/>
        <c:varyColors val="0"/>
        <c:ser>
          <c:idx val="0"/>
          <c:order val="0"/>
          <c:tx>
            <c:strRef>
              <c:f>Sheet1!$B$2</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Sheet1!$A$3:$A$6</c:f>
              <c:strCache>
                <c:ptCount val="4"/>
                <c:pt idx="0">
                  <c:v>2022年</c:v>
                </c:pt>
                <c:pt idx="1">
                  <c:v>2023年</c:v>
                </c:pt>
              </c:strCache>
            </c:strRef>
          </c:cat>
          <c:val>
            <c:numRef>
              <c:f>Sheet1!$B$3:$B$6</c:f>
              <c:numCache>
                <c:formatCode>General</c:formatCode>
                <c:ptCount val="4"/>
                <c:pt idx="0">
                  <c:v>337.5</c:v>
                </c:pt>
                <c:pt idx="1">
                  <c:v>429.74</c:v>
                </c:pt>
              </c:numCache>
            </c:numRef>
          </c:val>
        </c:ser>
        <c:dLbls>
          <c:showLegendKey val="0"/>
          <c:showVal val="1"/>
          <c:showCatName val="0"/>
          <c:showSerName val="0"/>
          <c:showPercent val="0"/>
          <c:showBubbleSize val="0"/>
        </c:dLbls>
        <c:gapWidth val="79"/>
        <c:axId val="145513088"/>
        <c:axId val="145514880"/>
      </c:barChart>
      <c:catAx>
        <c:axId val="14551308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145514880"/>
        <c:crosses val="autoZero"/>
        <c:auto val="1"/>
        <c:lblAlgn val="ctr"/>
        <c:lblOffset val="100"/>
        <c:noMultiLvlLbl val="0"/>
      </c:catAx>
      <c:valAx>
        <c:axId val="14551488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551308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hart>
    <c:title>
      <c:layout/>
      <c:overlay val="0"/>
      <c:tx>
        <c:rich>
          <a:bodyPr/>
          <a:lstStyle/>
          <a:p>
            <a:pPr>
              <a:defRPr/>
            </a:pPr>
          </a:p>
        </c:rich>
      </c:tx>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图6：一般公共预算财政拨款支出决算结构</c:v>
                </c:pt>
              </c:strCache>
            </c:strRef>
          </c:tx>
          <c:explosion val="0"/>
          <c:dPt>
            <c:idx val="0"/>
            <c:bubble3D val="0"/>
          </c:dPt>
          <c:dPt>
            <c:idx val="1"/>
            <c:bubble3D val="0"/>
          </c:dPt>
          <c:dPt>
            <c:idx val="2"/>
            <c:bubble3D val="0"/>
          </c:dPt>
          <c:dPt>
            <c:idx val="3"/>
            <c:bubble3D val="0"/>
          </c:dPt>
          <c:dLbls>
            <c:delete val="1"/>
          </c:dLbls>
          <c:cat>
            <c:strRef>
              <c:f>Sheet1!$A$2:$A$5</c:f>
              <c:strCache>
                <c:ptCount val="4"/>
                <c:pt idx="0">
                  <c:v>社会保障和就业（类）,82.65%</c:v>
                </c:pt>
                <c:pt idx="1">
                  <c:v>卫生健康支出（类）,5.22%</c:v>
                </c:pt>
                <c:pt idx="2">
                  <c:v>住房保障支出（类）,11.44%</c:v>
                </c:pt>
                <c:pt idx="3">
                  <c:v>教育支出（类），0.69%</c:v>
                </c:pt>
              </c:strCache>
            </c:strRef>
          </c:cat>
          <c:val>
            <c:numRef>
              <c:f>Sheet1!$B$2:$B$5</c:f>
              <c:numCache>
                <c:formatCode>0.00%</c:formatCode>
                <c:ptCount val="4"/>
                <c:pt idx="0">
                  <c:v>0.8265</c:v>
                </c:pt>
                <c:pt idx="1">
                  <c:v>0.0522</c:v>
                </c:pt>
                <c:pt idx="2">
                  <c:v>0.1144</c:v>
                </c:pt>
                <c:pt idx="3">
                  <c:v>0.0069</c:v>
                </c:pt>
              </c:numCache>
            </c:numRef>
          </c:val>
        </c:ser>
        <c:dLbls>
          <c:showLegendKey val="0"/>
          <c:showVal val="0"/>
          <c:showCatName val="0"/>
          <c:showSerName val="0"/>
          <c:showPercent val="0"/>
          <c:showBubbleSize val="0"/>
        </c:dLbls>
      </c:pie3D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“三公”经费财政拨款支出结构</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公务用车购置及运行维护费支出占比</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99.67</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公务接待费支出占比</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0.33</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公务用车购置及运行维护费支出占比</c:v>
                </c:pt>
                <c:pt idx="1">
                  <c:v>公务接待费支出占比</c:v>
                </c:pt>
              </c:strCache>
            </c:strRef>
          </c:cat>
          <c:val>
            <c:numRef>
              <c:f>Sheet1!$B$2:$B$5</c:f>
              <c:numCache>
                <c:formatCode>0.00%</c:formatCode>
                <c:ptCount val="4"/>
                <c:pt idx="0">
                  <c:v>0.9967</c:v>
                </c:pt>
                <c:pt idx="1">
                  <c:v>0.0033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67914955303213"/>
          <c:y val="0.858478538036549"/>
          <c:w val="0.728074414109688"/>
          <c:h val="0.1351466213344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4851</Words>
  <Characters>7032</Characters>
  <Lines>0</Lines>
  <Paragraphs>0</Paragraphs>
  <TotalTime>4</TotalTime>
  <ScaleCrop>false</ScaleCrop>
  <LinksUpToDate>false</LinksUpToDate>
  <CharactersWithSpaces>7083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2024-09-12T01:38:00Z</dcterms:created>
  <dc:creator>Lenovo</dc:creator>
  <cp:lastModifiedBy>Candy7v</cp:lastModifiedBy>
  <cp:lastPrinted>2024-09-12T02:13:00Z</cp:lastPrinted>
  <dcterms:modified xsi:type="dcterms:W3CDTF">2024-09-12T02:22:53Z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136CC991F8BE4462A19F31EE9574D8ED_12</vt:lpwstr>
  </property>
</Properties>
</file>