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9ACF6">
      <w:pPr>
        <w:spacing w:line="600" w:lineRule="exact"/>
        <w:jc w:val="left"/>
        <w:outlineLvl w:val="0"/>
        <w:rPr>
          <w:rFonts w:ascii="方正小标宋简体" w:hAnsi="宋体" w:eastAsia="方正小标宋简体"/>
          <w:color w:val="auto"/>
          <w:sz w:val="21"/>
          <w:szCs w:val="21"/>
          <w:highlight w:val="none"/>
        </w:rPr>
      </w:pPr>
      <w:bookmarkStart w:id="0" w:name="_Toc15306267"/>
      <w:bookmarkStart w:id="67" w:name="_GoBack"/>
      <w:bookmarkEnd w:id="67"/>
    </w:p>
    <w:p w14:paraId="2AF73505">
      <w:pPr>
        <w:spacing w:line="600" w:lineRule="exact"/>
        <w:jc w:val="center"/>
        <w:outlineLvl w:val="0"/>
        <w:rPr>
          <w:rFonts w:ascii="方正小标宋简体" w:hAnsi="宋体" w:eastAsia="方正小标宋简体"/>
          <w:color w:val="auto"/>
          <w:sz w:val="72"/>
          <w:szCs w:val="72"/>
          <w:highlight w:val="none"/>
        </w:rPr>
      </w:pPr>
    </w:p>
    <w:p w14:paraId="30350120">
      <w:pPr>
        <w:spacing w:line="600" w:lineRule="exact"/>
        <w:jc w:val="center"/>
        <w:outlineLvl w:val="0"/>
        <w:rPr>
          <w:rFonts w:ascii="方正小标宋简体" w:hAnsi="宋体" w:eastAsia="方正小标宋简体"/>
          <w:color w:val="auto"/>
          <w:sz w:val="72"/>
          <w:szCs w:val="72"/>
          <w:highlight w:val="none"/>
        </w:rPr>
      </w:pPr>
    </w:p>
    <w:p w14:paraId="4B35A3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597"/>
      <w:bookmarkStart w:id="4" w:name="_Toc1539647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2B1E50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8442"/>
      <w:bookmarkStart w:id="8" w:name="_Toc15377194"/>
      <w:bookmarkStart w:id="9" w:name="_Toc15396598"/>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退役军人事务厅</w:t>
      </w:r>
    </w:p>
    <w:p w14:paraId="4138CF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机关单位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2AA0721F">
      <w:pPr>
        <w:widowControl/>
        <w:jc w:val="center"/>
        <w:rPr>
          <w:rFonts w:hint="eastAsia" w:ascii="方正黑体简体" w:hAnsi="方正黑体简体" w:eastAsia="方正黑体简体" w:cs="方正黑体简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方正黑体简体" w:hAnsi="方正黑体简体" w:eastAsia="方正黑体简体" w:cs="方正黑体简体"/>
          <w:color w:val="auto"/>
          <w:sz w:val="48"/>
          <w:szCs w:val="48"/>
          <w:highlight w:val="none"/>
        </w:rPr>
        <w:t>目录</w:t>
      </w:r>
    </w:p>
    <w:p w14:paraId="495E1CA6">
      <w:pPr>
        <w:widowControl/>
        <w:jc w:val="center"/>
        <w:rPr>
          <w:rFonts w:ascii="黑体" w:hAnsi="黑体" w:eastAsia="黑体" w:cstheme="minorBidi"/>
          <w:color w:val="auto"/>
          <w:sz w:val="28"/>
          <w:szCs w:val="28"/>
          <w:highlight w:val="none"/>
        </w:rPr>
      </w:pPr>
    </w:p>
    <w:p w14:paraId="6A71733F">
      <w:pPr>
        <w:pStyle w:val="1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公开时间：20</w:t>
      </w:r>
      <w:r>
        <w:rPr>
          <w:rFonts w:hint="default" w:ascii="Times New Roman" w:hAnsi="Times New Roman" w:eastAsia="方正仿宋简体" w:cs="Times New Roman"/>
          <w:color w:val="auto"/>
          <w:sz w:val="28"/>
          <w:szCs w:val="28"/>
          <w:highlight w:val="none"/>
          <w:lang w:val="en-US" w:eastAsia="zh-CN"/>
        </w:rPr>
        <w:t>2</w:t>
      </w:r>
      <w:r>
        <w:rPr>
          <w:rFonts w:hint="eastAsia"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年</w:t>
      </w:r>
      <w:r>
        <w:rPr>
          <w:rFonts w:hint="default" w:ascii="Times New Roman" w:hAnsi="Times New Roman" w:eastAsia="方正仿宋简体" w:cs="Times New Roman"/>
          <w:color w:val="auto"/>
          <w:sz w:val="28"/>
          <w:szCs w:val="28"/>
          <w:highlight w:val="none"/>
          <w:lang w:val="en-US" w:eastAsia="zh-CN"/>
        </w:rPr>
        <w:t>9</w:t>
      </w:r>
      <w:r>
        <w:rPr>
          <w:rFonts w:hint="default" w:ascii="Times New Roman" w:hAnsi="Times New Roman" w:eastAsia="方正仿宋简体" w:cs="Times New Roman"/>
          <w:color w:val="auto"/>
          <w:sz w:val="28"/>
          <w:szCs w:val="28"/>
          <w:highlight w:val="none"/>
        </w:rPr>
        <w:t>月</w:t>
      </w:r>
      <w:r>
        <w:rPr>
          <w:rFonts w:hint="eastAsia" w:ascii="Times New Roman" w:hAnsi="Times New Roman" w:eastAsia="方正仿宋简体" w:cs="Times New Roman"/>
          <w:color w:val="auto"/>
          <w:sz w:val="28"/>
          <w:szCs w:val="28"/>
          <w:highlight w:val="none"/>
          <w:lang w:val="en-US" w:eastAsia="zh-CN"/>
        </w:rPr>
        <w:t>13</w:t>
      </w:r>
      <w:r>
        <w:rPr>
          <w:rFonts w:hint="default" w:ascii="Times New Roman" w:hAnsi="Times New Roman" w:eastAsia="方正仿宋简体" w:cs="Times New Roman"/>
          <w:color w:val="auto"/>
          <w:sz w:val="28"/>
          <w:szCs w:val="28"/>
          <w:highlight w:val="none"/>
        </w:rPr>
        <w:t>日</w:t>
      </w:r>
    </w:p>
    <w:p w14:paraId="7A93F6CA">
      <w:pPr>
        <w:rPr>
          <w:color w:val="auto"/>
          <w:highlight w:val="none"/>
        </w:rPr>
      </w:pPr>
    </w:p>
    <w:p w14:paraId="49E75753">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 xml:space="preserve">第一部分 </w:t>
      </w:r>
      <w:r>
        <w:rPr>
          <w:rFonts w:hint="default" w:ascii="Times New Roman" w:hAnsi="Times New Roman" w:eastAsia="方正仿宋简体" w:cs="Times New Roman"/>
          <w:color w:val="auto"/>
          <w:sz w:val="30"/>
          <w:szCs w:val="30"/>
          <w:highlight w:val="none"/>
          <w:lang w:eastAsia="zh-CN"/>
        </w:rPr>
        <w:t>单位</w:t>
      </w:r>
      <w:r>
        <w:rPr>
          <w:rFonts w:hint="default" w:ascii="Times New Roman" w:hAnsi="Times New Roman" w:eastAsia="方正仿宋简体" w:cs="Times New Roman"/>
          <w:color w:val="auto"/>
          <w:sz w:val="30"/>
          <w:szCs w:val="30"/>
          <w:highlight w:val="none"/>
        </w:rPr>
        <w:t>概况</w:t>
      </w:r>
      <w:r>
        <w:rPr>
          <w:rFonts w:hint="default" w:ascii="Times New Roman" w:hAnsi="Times New Roman" w:eastAsia="方正仿宋简体" w:cs="Times New Roman"/>
          <w:color w:val="auto"/>
          <w:sz w:val="30"/>
          <w:szCs w:val="30"/>
          <w:highlight w:val="none"/>
          <w:lang w:val="en-US" w:eastAsia="zh-CN"/>
        </w:rPr>
        <w:t>.........................................</w:t>
      </w:r>
      <w:r>
        <w:rPr>
          <w:rFonts w:hint="eastAsia" w:ascii="Times New Roman" w:hAnsi="Times New Roman" w:eastAsia="方正仿宋简体" w:cs="Times New Roman"/>
          <w:color w:val="auto"/>
          <w:sz w:val="30"/>
          <w:szCs w:val="30"/>
          <w:highlight w:val="none"/>
          <w:lang w:val="en-US" w:eastAsia="zh-CN"/>
        </w:rPr>
        <w:t>.......................................1</w:t>
      </w:r>
    </w:p>
    <w:p w14:paraId="0F6D51C9">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一、</w:t>
      </w:r>
      <w:r>
        <w:rPr>
          <w:rFonts w:hint="default" w:ascii="Times New Roman" w:hAnsi="Times New Roman" w:eastAsia="方正仿宋简体" w:cs="Times New Roman"/>
          <w:color w:val="auto"/>
          <w:sz w:val="30"/>
          <w:szCs w:val="30"/>
          <w:highlight w:val="none"/>
          <w:lang w:eastAsia="zh-CN"/>
        </w:rPr>
        <w:t>主要职责</w:t>
      </w:r>
      <w:r>
        <w:rPr>
          <w:rFonts w:hint="eastAsia" w:eastAsia="方正仿宋简体" w:cs="Times New Roman"/>
          <w:color w:val="auto"/>
          <w:sz w:val="30"/>
          <w:szCs w:val="30"/>
          <w:highlight w:val="none"/>
          <w:lang w:val="en-US" w:eastAsia="zh-CN"/>
        </w:rPr>
        <w:t>.....................................................................................1</w:t>
      </w:r>
    </w:p>
    <w:p w14:paraId="21AEB870">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highlight w:val="none"/>
          <w:lang w:eastAsia="zh-CN"/>
        </w:rPr>
        <w:t>二</w:t>
      </w:r>
      <w:r>
        <w:rPr>
          <w:rFonts w:hint="default" w:ascii="Times New Roman" w:hAnsi="Times New Roman" w:eastAsia="方正仿宋简体" w:cs="Times New Roman"/>
          <w:color w:val="auto"/>
          <w:sz w:val="30"/>
          <w:szCs w:val="30"/>
          <w:highlight w:val="none"/>
        </w:rPr>
        <w:t>、</w:t>
      </w:r>
      <w:r>
        <w:rPr>
          <w:rFonts w:hint="default" w:ascii="Times New Roman" w:hAnsi="Times New Roman" w:eastAsia="方正仿宋简体" w:cs="Times New Roman"/>
          <w:color w:val="auto"/>
          <w:sz w:val="30"/>
          <w:szCs w:val="30"/>
          <w:highlight w:val="none"/>
          <w:lang w:eastAsia="zh-CN"/>
        </w:rPr>
        <w:t>机构设置</w:t>
      </w:r>
      <w:r>
        <w:rPr>
          <w:rFonts w:hint="eastAsia" w:eastAsia="方正仿宋简体" w:cs="Times New Roman"/>
          <w:color w:val="auto"/>
          <w:sz w:val="30"/>
          <w:szCs w:val="30"/>
          <w:highlight w:val="none"/>
          <w:lang w:val="en-US" w:eastAsia="zh-CN"/>
        </w:rPr>
        <w:t>.....................................................................................1</w:t>
      </w:r>
    </w:p>
    <w:p w14:paraId="2CD2D689">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第二部分</w:t>
      </w:r>
      <w:r>
        <w:rPr>
          <w:rFonts w:hint="default" w:ascii="Times New Roman" w:hAnsi="Times New Roman" w:eastAsia="方正仿宋简体" w:cs="Times New Roman"/>
          <w:color w:val="auto"/>
          <w:sz w:val="30"/>
          <w:szCs w:val="30"/>
          <w:highlight w:val="none"/>
          <w:lang w:val="en-US" w:eastAsia="zh-CN"/>
        </w:rPr>
        <w:t xml:space="preserve"> 202</w:t>
      </w:r>
      <w:r>
        <w:rPr>
          <w:rFonts w:hint="eastAsia" w:ascii="Times New Roman" w:hAnsi="Times New Roman" w:eastAsia="方正仿宋简体" w:cs="Times New Roman"/>
          <w:color w:val="auto"/>
          <w:sz w:val="30"/>
          <w:szCs w:val="30"/>
          <w:highlight w:val="none"/>
          <w:lang w:val="en-US" w:eastAsia="zh-CN"/>
        </w:rPr>
        <w:t>3</w:t>
      </w:r>
      <w:r>
        <w:rPr>
          <w:rFonts w:hint="default" w:ascii="Times New Roman" w:hAnsi="Times New Roman" w:eastAsia="方正仿宋简体" w:cs="Times New Roman"/>
          <w:color w:val="auto"/>
          <w:sz w:val="30"/>
          <w:szCs w:val="30"/>
          <w:highlight w:val="none"/>
          <w:lang w:val="en-US" w:eastAsia="zh-CN"/>
        </w:rPr>
        <w:t>年度</w:t>
      </w:r>
      <w:r>
        <w:rPr>
          <w:rFonts w:hint="default" w:ascii="Times New Roman" w:hAnsi="Times New Roman" w:eastAsia="方正仿宋简体" w:cs="Times New Roman"/>
          <w:color w:val="auto"/>
          <w:sz w:val="30"/>
          <w:szCs w:val="30"/>
          <w:highlight w:val="none"/>
          <w:lang w:eastAsia="zh-CN"/>
        </w:rPr>
        <w:t>单位</w:t>
      </w:r>
      <w:r>
        <w:rPr>
          <w:rFonts w:hint="default" w:ascii="Times New Roman" w:hAnsi="Times New Roman" w:eastAsia="方正仿宋简体" w:cs="Times New Roman"/>
          <w:color w:val="auto"/>
          <w:sz w:val="30"/>
          <w:szCs w:val="30"/>
          <w:highlight w:val="none"/>
        </w:rPr>
        <w:t>决算情况说明</w:t>
      </w:r>
      <w:r>
        <w:rPr>
          <w:rFonts w:hint="eastAsia" w:ascii="Times New Roman" w:hAnsi="Times New Roman" w:eastAsia="方正仿宋简体" w:cs="Times New Roman"/>
          <w:color w:val="auto"/>
          <w:sz w:val="30"/>
          <w:szCs w:val="30"/>
          <w:highlight w:val="none"/>
          <w:lang w:val="en-US" w:eastAsia="zh-CN"/>
        </w:rPr>
        <w:t>...............................................2</w:t>
      </w:r>
    </w:p>
    <w:p w14:paraId="51624AA7">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一、收入支出决算总体情况说明</w:t>
      </w:r>
      <w:r>
        <w:rPr>
          <w:rFonts w:hint="eastAsia" w:eastAsia="方正仿宋简体" w:cs="Times New Roman"/>
          <w:color w:val="auto"/>
          <w:sz w:val="30"/>
          <w:szCs w:val="30"/>
          <w:highlight w:val="none"/>
          <w:lang w:val="en-US" w:eastAsia="zh-CN"/>
        </w:rPr>
        <w:t>.....................................................2</w:t>
      </w:r>
    </w:p>
    <w:p w14:paraId="63BB4EC6">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二、收入决算情况说明</w:t>
      </w:r>
      <w:r>
        <w:rPr>
          <w:rFonts w:hint="eastAsia" w:eastAsia="方正仿宋简体" w:cs="Times New Roman"/>
          <w:color w:val="auto"/>
          <w:sz w:val="30"/>
          <w:szCs w:val="30"/>
          <w:highlight w:val="none"/>
          <w:lang w:val="en-US" w:eastAsia="zh-CN"/>
        </w:rPr>
        <w:t>.....................................................................2</w:t>
      </w:r>
    </w:p>
    <w:p w14:paraId="1AD95305">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三、支出决算情况说明</w:t>
      </w:r>
      <w:r>
        <w:rPr>
          <w:rFonts w:hint="eastAsia" w:eastAsia="方正仿宋简体" w:cs="Times New Roman"/>
          <w:color w:val="auto"/>
          <w:sz w:val="30"/>
          <w:szCs w:val="30"/>
          <w:highlight w:val="none"/>
          <w:lang w:val="en-US" w:eastAsia="zh-CN"/>
        </w:rPr>
        <w:t>.....................................................................3</w:t>
      </w:r>
    </w:p>
    <w:p w14:paraId="537A1282">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四、财政拨款收入支出决算总体情况说明</w:t>
      </w:r>
      <w:r>
        <w:rPr>
          <w:rFonts w:hint="eastAsia" w:eastAsia="方正仿宋简体" w:cs="Times New Roman"/>
          <w:color w:val="auto"/>
          <w:sz w:val="30"/>
          <w:szCs w:val="30"/>
          <w:highlight w:val="none"/>
          <w:lang w:val="en-US" w:eastAsia="zh-CN"/>
        </w:rPr>
        <w:t>.....................................3</w:t>
      </w:r>
    </w:p>
    <w:p w14:paraId="2EFDA872">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五、一般公共预算财政拨款支出决算情况说明</w:t>
      </w:r>
      <w:r>
        <w:rPr>
          <w:rFonts w:hint="eastAsia" w:eastAsia="方正仿宋简体" w:cs="Times New Roman"/>
          <w:color w:val="auto"/>
          <w:sz w:val="30"/>
          <w:szCs w:val="30"/>
          <w:highlight w:val="none"/>
          <w:lang w:val="en-US" w:eastAsia="zh-CN"/>
        </w:rPr>
        <w:t>.............................4</w:t>
      </w:r>
    </w:p>
    <w:p w14:paraId="5D8A3771">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六、一般公共预算财政拨款基本支出决算情况说明</w:t>
      </w:r>
      <w:r>
        <w:rPr>
          <w:rFonts w:hint="eastAsia" w:eastAsia="方正仿宋简体" w:cs="Times New Roman"/>
          <w:color w:val="auto"/>
          <w:sz w:val="30"/>
          <w:szCs w:val="30"/>
          <w:highlight w:val="none"/>
          <w:lang w:val="en-US" w:eastAsia="zh-CN"/>
        </w:rPr>
        <w:t>.....................8</w:t>
      </w:r>
    </w:p>
    <w:p w14:paraId="7BA33F15">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七、财政拨款</w:t>
      </w:r>
      <w:r>
        <w:rPr>
          <w:rFonts w:hint="default" w:ascii="Times New Roman" w:hAnsi="Times New Roman" w:eastAsia="方正仿宋简体" w:cs="Times New Roman"/>
          <w:color w:val="auto"/>
          <w:sz w:val="30"/>
          <w:szCs w:val="30"/>
          <w:highlight w:val="none"/>
          <w:lang w:eastAsia="zh-CN"/>
        </w:rPr>
        <w:t>“</w:t>
      </w:r>
      <w:r>
        <w:rPr>
          <w:rFonts w:hint="default" w:ascii="Times New Roman" w:hAnsi="Times New Roman" w:eastAsia="方正仿宋简体" w:cs="Times New Roman"/>
          <w:color w:val="auto"/>
          <w:sz w:val="30"/>
          <w:szCs w:val="30"/>
          <w:highlight w:val="none"/>
        </w:rPr>
        <w:t>三公”经费支出决算情况说明</w:t>
      </w:r>
      <w:r>
        <w:rPr>
          <w:rFonts w:hint="eastAsia" w:eastAsia="方正仿宋简体" w:cs="Times New Roman"/>
          <w:color w:val="auto"/>
          <w:sz w:val="30"/>
          <w:szCs w:val="30"/>
          <w:highlight w:val="none"/>
          <w:lang w:val="en-US" w:eastAsia="zh-CN"/>
        </w:rPr>
        <w:t>.................................8</w:t>
      </w:r>
    </w:p>
    <w:p w14:paraId="084DBF70">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八、政府性基金预算支出决算情况说明</w:t>
      </w:r>
      <w:r>
        <w:rPr>
          <w:rFonts w:hint="eastAsia" w:eastAsia="方正仿宋简体" w:cs="Times New Roman"/>
          <w:color w:val="auto"/>
          <w:sz w:val="30"/>
          <w:szCs w:val="30"/>
          <w:highlight w:val="none"/>
          <w:lang w:val="en-US" w:eastAsia="zh-CN"/>
        </w:rPr>
        <w:t>........................................10</w:t>
      </w:r>
    </w:p>
    <w:p w14:paraId="3DF960B3">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九、国有资本经营预算支出决算情况说明</w:t>
      </w:r>
      <w:r>
        <w:rPr>
          <w:rFonts w:hint="eastAsia" w:eastAsia="方正仿宋简体" w:cs="Times New Roman"/>
          <w:color w:val="auto"/>
          <w:sz w:val="30"/>
          <w:szCs w:val="30"/>
          <w:highlight w:val="none"/>
          <w:lang w:val="en-US" w:eastAsia="zh-CN"/>
        </w:rPr>
        <w:t>.....................................11</w:t>
      </w:r>
    </w:p>
    <w:p w14:paraId="481DEA4F">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十、其他重要事项的情况说明</w:t>
      </w:r>
      <w:r>
        <w:rPr>
          <w:rFonts w:hint="eastAsia" w:eastAsia="方正仿宋简体" w:cs="Times New Roman"/>
          <w:color w:val="auto"/>
          <w:sz w:val="30"/>
          <w:szCs w:val="30"/>
          <w:highlight w:val="none"/>
          <w:lang w:val="en-US" w:eastAsia="zh-CN"/>
        </w:rPr>
        <w:t>........................................................11</w:t>
      </w:r>
    </w:p>
    <w:p w14:paraId="30B89C36">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第三部分 名词解释</w:t>
      </w:r>
      <w:r>
        <w:rPr>
          <w:rFonts w:hint="eastAsia" w:ascii="Times New Roman" w:hAnsi="Times New Roman" w:eastAsia="方正仿宋简体" w:cs="Times New Roman"/>
          <w:color w:val="auto"/>
          <w:sz w:val="30"/>
          <w:szCs w:val="30"/>
          <w:highlight w:val="none"/>
          <w:lang w:val="en-US" w:eastAsia="zh-CN"/>
        </w:rPr>
        <w:t>...............................................................................13</w:t>
      </w:r>
    </w:p>
    <w:p w14:paraId="165C24A9">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第四部分 附件</w:t>
      </w:r>
      <w:r>
        <w:rPr>
          <w:rFonts w:hint="eastAsia" w:ascii="Times New Roman" w:hAnsi="Times New Roman" w:eastAsia="方正仿宋简体" w:cs="Times New Roman"/>
          <w:color w:val="auto"/>
          <w:sz w:val="30"/>
          <w:szCs w:val="30"/>
          <w:highlight w:val="none"/>
          <w:lang w:val="en-US" w:eastAsia="zh-CN"/>
        </w:rPr>
        <w:t>.......................................................................................17</w:t>
      </w:r>
    </w:p>
    <w:p w14:paraId="43748034">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第五部分 附表</w:t>
      </w:r>
      <w:r>
        <w:rPr>
          <w:rFonts w:hint="eastAsia" w:ascii="Times New Roman" w:hAnsi="Times New Roman" w:eastAsia="方正仿宋简体" w:cs="Times New Roman"/>
          <w:color w:val="auto"/>
          <w:sz w:val="30"/>
          <w:szCs w:val="30"/>
          <w:highlight w:val="none"/>
          <w:lang w:val="en-US" w:eastAsia="zh-CN"/>
        </w:rPr>
        <w:t>.......................................................................................25</w:t>
      </w:r>
    </w:p>
    <w:p w14:paraId="785A6850">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一、收入支出决算总表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二、收入决算表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三、支出决算表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四、财政拨款收入支出决算总表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五、财政拨款支出决算明细表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六、一般公共预算财政拨款支出决算表</w:t>
      </w:r>
      <w:r>
        <w:rPr>
          <w:rFonts w:hint="eastAsia" w:eastAsia="方正仿宋简体" w:cs="Times New Roman"/>
          <w:color w:val="auto"/>
          <w:sz w:val="30"/>
          <w:szCs w:val="30"/>
          <w:highlight w:val="none"/>
          <w:lang w:val="en-US" w:eastAsia="zh-CN"/>
        </w:rPr>
        <w:t>........................................27</w:t>
      </w:r>
    </w:p>
    <w:p w14:paraId="3D995C8A">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七、一般公共预算财政拨款支出决算明细表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八、一般公共预算财政拨款基本支出决算</w:t>
      </w:r>
      <w:r>
        <w:rPr>
          <w:rFonts w:hint="default" w:ascii="Times New Roman" w:hAnsi="Times New Roman" w:eastAsia="方正仿宋简体" w:cs="Times New Roman"/>
          <w:color w:val="auto"/>
          <w:sz w:val="30"/>
          <w:szCs w:val="30"/>
          <w:highlight w:val="none"/>
          <w:lang w:eastAsia="zh-CN"/>
        </w:rPr>
        <w:t>明细</w:t>
      </w:r>
      <w:r>
        <w:rPr>
          <w:rFonts w:hint="default" w:ascii="Times New Roman" w:hAnsi="Times New Roman" w:eastAsia="方正仿宋简体" w:cs="Times New Roman"/>
          <w:color w:val="auto"/>
          <w:sz w:val="30"/>
          <w:szCs w:val="30"/>
          <w:highlight w:val="none"/>
        </w:rPr>
        <w:t>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九、一般公共预算财政拨款项目支出决算表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十、政府性基金预算财政拨款收入支出决算表</w:t>
      </w:r>
      <w:r>
        <w:rPr>
          <w:rFonts w:hint="eastAsia" w:eastAsia="方正仿宋简体" w:cs="Times New Roman"/>
          <w:color w:val="auto"/>
          <w:sz w:val="30"/>
          <w:szCs w:val="30"/>
          <w:highlight w:val="none"/>
          <w:lang w:val="en-US" w:eastAsia="zh-CN"/>
        </w:rPr>
        <w:t>............................27</w:t>
      </w:r>
    </w:p>
    <w:p w14:paraId="58693918">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rPr>
      </w:pPr>
      <w:r>
        <w:rPr>
          <w:rFonts w:hint="default" w:ascii="Times New Roman" w:hAnsi="Times New Roman" w:eastAsia="方正仿宋简体" w:cs="Times New Roman"/>
          <w:color w:val="auto"/>
          <w:sz w:val="30"/>
          <w:szCs w:val="30"/>
          <w:highlight w:val="none"/>
        </w:rPr>
        <w:t>十一、国有资本经营预算财政拨款收入支出决算表</w:t>
      </w:r>
      <w:r>
        <w:rPr>
          <w:rFonts w:hint="eastAsia" w:eastAsia="方正仿宋简体" w:cs="Times New Roman"/>
          <w:color w:val="auto"/>
          <w:sz w:val="30"/>
          <w:szCs w:val="30"/>
          <w:highlight w:val="none"/>
          <w:lang w:val="en-US" w:eastAsia="zh-CN"/>
        </w:rPr>
        <w:t>....................27</w:t>
      </w:r>
      <w:r>
        <w:rPr>
          <w:rFonts w:hint="default" w:ascii="Times New Roman" w:hAnsi="Times New Roman" w:eastAsia="方正仿宋简体" w:cs="Times New Roman"/>
          <w:color w:val="auto"/>
          <w:sz w:val="30"/>
          <w:szCs w:val="30"/>
          <w:highlight w:val="none"/>
        </w:rPr>
        <w:t>十二、</w:t>
      </w:r>
      <w:r>
        <w:rPr>
          <w:rFonts w:hint="default" w:ascii="Times New Roman" w:hAnsi="Times New Roman" w:eastAsia="方正仿宋简体" w:cs="Times New Roman"/>
          <w:color w:val="auto"/>
          <w:sz w:val="30"/>
          <w:szCs w:val="30"/>
          <w:highlight w:val="none"/>
          <w:lang w:val="en-US" w:eastAsia="zh-CN"/>
        </w:rPr>
        <w:t>国有资本经营预算财政拨款支出决算表</w:t>
      </w:r>
      <w:r>
        <w:rPr>
          <w:rFonts w:hint="eastAsia" w:eastAsia="方正仿宋简体" w:cs="Times New Roman"/>
          <w:color w:val="auto"/>
          <w:sz w:val="30"/>
          <w:szCs w:val="30"/>
          <w:highlight w:val="none"/>
          <w:lang w:val="en-US" w:eastAsia="zh-CN"/>
        </w:rPr>
        <w:t>............................27</w:t>
      </w:r>
    </w:p>
    <w:p w14:paraId="5A54C8C2">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方正黑体简体" w:hAnsi="方正黑体简体" w:eastAsia="方正黑体简体" w:cs="方正黑体简体"/>
          <w:b w:val="0"/>
          <w:color w:val="auto"/>
          <w:highlight w:val="none"/>
          <w:lang w:val="en-US"/>
        </w:rPr>
        <w:sectPr>
          <w:headerReference r:id="rId4" w:type="first"/>
          <w:footerReference r:id="rId6" w:type="first"/>
          <w:headerReference r:id="rId3" w:type="default"/>
          <w:footerReference r:id="rId5" w:type="even"/>
          <w:pgSz w:w="11906" w:h="16838"/>
          <w:pgMar w:top="2098" w:right="1474" w:bottom="1984" w:left="1587" w:header="851" w:footer="992" w:gutter="0"/>
          <w:pgNumType w:fmt="numberInDash" w:start="16"/>
          <w:cols w:space="425" w:num="1"/>
          <w:docGrid w:type="lines" w:linePitch="435" w:charSpace="0"/>
        </w:sectPr>
      </w:pPr>
      <w:r>
        <w:rPr>
          <w:rFonts w:hint="default" w:ascii="Times New Roman" w:hAnsi="Times New Roman" w:eastAsia="方正仿宋简体" w:cs="Times New Roman"/>
          <w:color w:val="auto"/>
          <w:sz w:val="30"/>
          <w:szCs w:val="30"/>
          <w:highlight w:val="none"/>
        </w:rPr>
        <w:t>十三、财政拨款“三公”经费支出决算表</w:t>
      </w:r>
      <w:r>
        <w:rPr>
          <w:rFonts w:hint="eastAsia" w:eastAsia="方正仿宋简体" w:cs="Times New Roman"/>
          <w:color w:val="auto"/>
          <w:sz w:val="30"/>
          <w:szCs w:val="30"/>
          <w:highlight w:val="none"/>
          <w:lang w:val="en-US" w:eastAsia="zh-CN"/>
        </w:rPr>
        <w:t>..........................................</w:t>
      </w:r>
      <w:bookmarkStart w:id="12" w:name="_Toc15396599"/>
      <w:bookmarkStart w:id="13" w:name="_Toc15377196"/>
      <w:r>
        <w:rPr>
          <w:rFonts w:hint="eastAsia" w:eastAsia="方正仿宋简体" w:cs="Times New Roman"/>
          <w:color w:val="auto"/>
          <w:sz w:val="30"/>
          <w:szCs w:val="30"/>
          <w:highlight w:val="none"/>
          <w:lang w:val="en-US" w:eastAsia="zh-CN"/>
        </w:rPr>
        <w:t>27</w:t>
      </w:r>
    </w:p>
    <w:p w14:paraId="77B00DAA">
      <w:pPr>
        <w:pStyle w:val="2"/>
        <w:jc w:val="center"/>
        <w:rPr>
          <w:rStyle w:val="24"/>
          <w:rFonts w:hint="eastAsia" w:ascii="方正黑体简体" w:hAnsi="方正黑体简体" w:eastAsia="方正黑体简体" w:cs="方正黑体简体"/>
          <w:b/>
          <w:bCs w:val="0"/>
          <w:color w:val="auto"/>
          <w:highlight w:val="none"/>
        </w:rPr>
      </w:pPr>
      <w:r>
        <w:rPr>
          <w:rFonts w:hint="eastAsia" w:ascii="方正黑体简体" w:hAnsi="方正黑体简体" w:eastAsia="方正黑体简体" w:cs="方正黑体简体"/>
          <w:b w:val="0"/>
          <w:color w:val="auto"/>
          <w:highlight w:val="none"/>
        </w:rPr>
        <w:t xml:space="preserve">第一部分 </w:t>
      </w:r>
      <w:r>
        <w:rPr>
          <w:rFonts w:hint="eastAsia" w:ascii="方正黑体简体" w:hAnsi="方正黑体简体" w:eastAsia="方正黑体简体" w:cs="方正黑体简体"/>
          <w:b w:val="0"/>
          <w:color w:val="auto"/>
          <w:highlight w:val="none"/>
          <w:lang w:eastAsia="zh-CN"/>
        </w:rPr>
        <w:t>单位</w:t>
      </w:r>
      <w:r>
        <w:rPr>
          <w:rStyle w:val="24"/>
          <w:rFonts w:hint="eastAsia" w:ascii="方正黑体简体" w:hAnsi="方正黑体简体" w:eastAsia="方正黑体简体" w:cs="方正黑体简体"/>
          <w:b w:val="0"/>
          <w:bCs w:val="0"/>
          <w:color w:val="auto"/>
          <w:highlight w:val="none"/>
        </w:rPr>
        <w:t>概况</w:t>
      </w:r>
      <w:bookmarkEnd w:id="12"/>
      <w:bookmarkEnd w:id="13"/>
    </w:p>
    <w:p w14:paraId="5C15427C">
      <w:pPr>
        <w:widowControl/>
        <w:jc w:val="left"/>
        <w:rPr>
          <w:rFonts w:ascii="黑体" w:eastAsia="黑体"/>
          <w:color w:val="auto"/>
          <w:sz w:val="32"/>
          <w:szCs w:val="32"/>
          <w:highlight w:val="none"/>
        </w:rPr>
      </w:pPr>
    </w:p>
    <w:p w14:paraId="64D66CBD">
      <w:pPr>
        <w:pStyle w:val="3"/>
        <w:pageBreakBefore w:val="0"/>
        <w:numPr>
          <w:ilvl w:val="0"/>
          <w:numId w:val="0"/>
        </w:numPr>
        <w:kinsoku/>
        <w:wordWrap/>
        <w:overflowPunct/>
        <w:topLinePunct w:val="0"/>
        <w:autoSpaceDE/>
        <w:autoSpaceDN/>
        <w:bidi w:val="0"/>
        <w:spacing w:line="600" w:lineRule="exact"/>
        <w:ind w:firstLine="640" w:firstLineChars="200"/>
        <w:textAlignment w:val="auto"/>
        <w:rPr>
          <w:rStyle w:val="25"/>
          <w:rFonts w:hint="eastAsia" w:ascii="方正黑体简体" w:hAnsi="方正黑体简体" w:eastAsia="方正黑体简体" w:cs="方正黑体简体"/>
          <w:b w:val="0"/>
          <w:bCs w:val="0"/>
          <w:color w:val="auto"/>
          <w:highlight w:val="none"/>
          <w:lang w:eastAsia="zh-CN"/>
        </w:rPr>
      </w:pPr>
      <w:bookmarkStart w:id="14" w:name="_Toc15377197"/>
      <w:bookmarkStart w:id="15" w:name="_Toc15396600"/>
      <w:r>
        <w:rPr>
          <w:rStyle w:val="25"/>
          <w:rFonts w:hint="eastAsia" w:ascii="方正黑体简体" w:hAnsi="方正黑体简体" w:eastAsia="方正黑体简体" w:cs="方正黑体简体"/>
          <w:b w:val="0"/>
          <w:bCs w:val="0"/>
          <w:color w:val="auto"/>
          <w:highlight w:val="none"/>
          <w:lang w:eastAsia="zh-CN"/>
        </w:rPr>
        <w:t>一、主要职责</w:t>
      </w:r>
    </w:p>
    <w:p w14:paraId="58B335C0">
      <w:pPr>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落实国家有关退役军人思想政治、管理保障和安置优抚等工作政策法规，褒扬彰显退役军人为党、国家和人民牺牲奉献的精神风范和价值导向；负责军队转业干部、复员干部、离休退休干部、退役士兵和无军籍退休退职职工的移交安置和自主择业、</w:t>
      </w:r>
      <w:r>
        <w:rPr>
          <w:rFonts w:hint="eastAsia" w:eastAsia="方正仿宋简体" w:cs="Times New Roman"/>
          <w:sz w:val="32"/>
          <w:szCs w:val="32"/>
          <w:lang w:eastAsia="zh-CN"/>
        </w:rPr>
        <w:t>自主</w:t>
      </w:r>
      <w:r>
        <w:rPr>
          <w:rFonts w:hint="default" w:ascii="Times New Roman" w:hAnsi="Times New Roman" w:eastAsia="方正仿宋简体" w:cs="Times New Roman"/>
          <w:sz w:val="32"/>
          <w:szCs w:val="32"/>
        </w:rPr>
        <w:t>就业退役军人服务管理工作；组织、指导退役军人教育培训、就业创业、优待抚恤、帮扶援助等工作；指导全省拥军优属工作；负责烈士及退役军人荣誉奖励、军人公墓和烈士纪念设施的建设管理、纪念活动等工作。</w:t>
      </w:r>
    </w:p>
    <w:p w14:paraId="2663FA18">
      <w:pPr>
        <w:pageBreakBefore w:val="0"/>
        <w:numPr>
          <w:ilvl w:val="0"/>
          <w:numId w:val="1"/>
        </w:numPr>
        <w:kinsoku/>
        <w:wordWrap/>
        <w:overflowPunct/>
        <w:topLinePunct w:val="0"/>
        <w:autoSpaceDE/>
        <w:autoSpaceDN/>
        <w:bidi w:val="0"/>
        <w:spacing w:line="600" w:lineRule="exact"/>
        <w:ind w:firstLine="640" w:firstLineChars="200"/>
        <w:jc w:val="left"/>
        <w:textAlignment w:val="auto"/>
        <w:rPr>
          <w:rStyle w:val="25"/>
          <w:rFonts w:hint="eastAsia" w:ascii="方正黑体简体" w:hAnsi="方正黑体简体" w:eastAsia="方正黑体简体" w:cs="方正黑体简体"/>
          <w:b w:val="0"/>
          <w:bCs w:val="0"/>
          <w:color w:val="auto"/>
          <w:highlight w:val="none"/>
          <w:lang w:val="en-US" w:eastAsia="zh-CN"/>
        </w:rPr>
      </w:pPr>
      <w:r>
        <w:rPr>
          <w:rStyle w:val="25"/>
          <w:rFonts w:hint="eastAsia" w:ascii="方正黑体简体" w:hAnsi="方正黑体简体" w:eastAsia="方正黑体简体" w:cs="方正黑体简体"/>
          <w:b w:val="0"/>
          <w:bCs w:val="0"/>
          <w:color w:val="auto"/>
          <w:highlight w:val="none"/>
          <w:lang w:val="en-US" w:eastAsia="zh-CN"/>
        </w:rPr>
        <w:t>机构设置</w:t>
      </w:r>
    </w:p>
    <w:p w14:paraId="5F3DD6EE">
      <w:pPr>
        <w:pageBreakBefore w:val="0"/>
        <w:kinsoku/>
        <w:wordWrap/>
        <w:overflowPunct/>
        <w:topLinePunct w:val="0"/>
        <w:autoSpaceDE/>
        <w:autoSpaceDN/>
        <w:bidi w:val="0"/>
        <w:spacing w:line="600" w:lineRule="exact"/>
        <w:ind w:firstLine="640" w:firstLineChars="200"/>
        <w:jc w:val="left"/>
        <w:textAlignment w:val="auto"/>
        <w:rPr>
          <w:rFonts w:hint="eastAsia" w:eastAsia="方正仿宋简体" w:cs="Times New Roman"/>
          <w:sz w:val="32"/>
          <w:szCs w:val="32"/>
          <w:lang w:val="zh-CN" w:eastAsia="zh-Hans"/>
        </w:rPr>
      </w:pPr>
      <w:r>
        <w:rPr>
          <w:rFonts w:hint="default" w:ascii="Times New Roman" w:hAnsi="Times New Roman" w:eastAsia="方正仿宋简体" w:cs="Times New Roman"/>
          <w:sz w:val="32"/>
          <w:szCs w:val="32"/>
          <w:lang w:val="zh-CN" w:eastAsia="zh-Hans"/>
        </w:rPr>
        <w:t>厅机关共有内设机构10个，分别为办公室、权益维护与政策法规处、移交安置处、就业创业处、拥军优抚处、褒扬纪念处、思想政治与党建工作处、规划财务处、应急与信访工作处、机关党委（人事处）；另设四川省委退役军人事务工作领导小组办公室秘书处。</w:t>
      </w:r>
    </w:p>
    <w:p w14:paraId="7E252B24">
      <w:pPr>
        <w:pageBreakBefore w:val="0"/>
        <w:kinsoku/>
        <w:wordWrap/>
        <w:overflowPunct/>
        <w:topLinePunct w:val="0"/>
        <w:autoSpaceDE/>
        <w:autoSpaceDN/>
        <w:bidi w:val="0"/>
        <w:spacing w:line="600" w:lineRule="exact"/>
        <w:jc w:val="left"/>
        <w:textAlignment w:val="auto"/>
        <w:rPr>
          <w:rFonts w:hint="eastAsia" w:eastAsia="方正仿宋简体" w:cs="Times New Roman"/>
          <w:sz w:val="32"/>
          <w:szCs w:val="32"/>
          <w:lang w:val="zh-CN" w:eastAsia="zh-Hans"/>
        </w:rPr>
      </w:pPr>
    </w:p>
    <w:p w14:paraId="3094FA1F">
      <w:pPr>
        <w:pageBreakBefore w:val="0"/>
        <w:kinsoku/>
        <w:wordWrap/>
        <w:overflowPunct/>
        <w:topLinePunct w:val="0"/>
        <w:autoSpaceDE/>
        <w:autoSpaceDN/>
        <w:bidi w:val="0"/>
        <w:spacing w:line="600" w:lineRule="exact"/>
        <w:jc w:val="left"/>
        <w:textAlignment w:val="auto"/>
        <w:rPr>
          <w:rFonts w:hint="default" w:eastAsia="方正仿宋简体" w:cs="Times New Roman"/>
          <w:sz w:val="32"/>
          <w:szCs w:val="32"/>
          <w:lang w:val="zh-CN" w:eastAsia="zh-Hans"/>
        </w:rPr>
        <w:sectPr>
          <w:footerReference r:id="rId7" w:type="default"/>
          <w:pgSz w:w="11906" w:h="16838"/>
          <w:pgMar w:top="2098" w:right="1474" w:bottom="1984" w:left="1587" w:header="851" w:footer="992" w:gutter="0"/>
          <w:pgNumType w:fmt="numberInDash" w:start="1"/>
          <w:cols w:space="425" w:num="1"/>
          <w:docGrid w:type="lines" w:linePitch="435" w:charSpace="0"/>
        </w:sectPr>
      </w:pPr>
    </w:p>
    <w:bookmarkEnd w:id="14"/>
    <w:bookmarkEnd w:id="15"/>
    <w:p w14:paraId="5AB21535">
      <w:pPr>
        <w:pStyle w:val="2"/>
        <w:pageBreakBefore w:val="0"/>
        <w:kinsoku/>
        <w:wordWrap/>
        <w:overflowPunct/>
        <w:topLinePunct w:val="0"/>
        <w:bidi w:val="0"/>
        <w:snapToGrid/>
        <w:spacing w:line="600" w:lineRule="exact"/>
        <w:ind w:right="440"/>
        <w:jc w:val="center"/>
        <w:textAlignment w:val="auto"/>
        <w:rPr>
          <w:rStyle w:val="24"/>
          <w:rFonts w:hint="default" w:ascii="Times New Roman" w:hAnsi="Times New Roman" w:eastAsia="方正黑体简体" w:cs="Times New Roman"/>
          <w:b w:val="0"/>
          <w:bCs/>
          <w:color w:val="auto"/>
          <w:highlight w:val="none"/>
        </w:rPr>
      </w:pPr>
      <w:bookmarkStart w:id="16" w:name="_Toc15377204"/>
      <w:bookmarkStart w:id="17" w:name="_Toc15396602"/>
      <w:r>
        <w:rPr>
          <w:rFonts w:hint="default" w:ascii="Times New Roman" w:hAnsi="Times New Roman" w:eastAsia="方正黑体简体" w:cs="Times New Roman"/>
          <w:b w:val="0"/>
          <w:bCs/>
          <w:color w:val="auto"/>
          <w:highlight w:val="none"/>
        </w:rPr>
        <w:t xml:space="preserve">第二部分 </w:t>
      </w:r>
      <w:r>
        <w:rPr>
          <w:rFonts w:hint="default" w:ascii="Times New Roman" w:hAnsi="Times New Roman" w:eastAsia="方正黑体简体" w:cs="Times New Roman"/>
          <w:b w:val="0"/>
          <w:bCs/>
          <w:color w:val="auto"/>
          <w:highlight w:val="none"/>
          <w:lang w:val="en-US" w:eastAsia="zh-CN"/>
        </w:rPr>
        <w:t>202</w:t>
      </w:r>
      <w:r>
        <w:rPr>
          <w:rFonts w:hint="eastAsia" w:eastAsia="方正黑体简体" w:cs="Times New Roman"/>
          <w:b w:val="0"/>
          <w:bCs/>
          <w:color w:val="auto"/>
          <w:highlight w:val="none"/>
          <w:lang w:val="en-US" w:eastAsia="zh-CN"/>
        </w:rPr>
        <w:t>3</w:t>
      </w:r>
      <w:r>
        <w:rPr>
          <w:rFonts w:hint="default" w:ascii="Times New Roman" w:hAnsi="Times New Roman" w:eastAsia="方正黑体简体" w:cs="Times New Roman"/>
          <w:b w:val="0"/>
          <w:bCs/>
          <w:color w:val="auto"/>
          <w:highlight w:val="none"/>
          <w:lang w:val="en-US" w:eastAsia="zh-CN"/>
        </w:rPr>
        <w:t>年度</w:t>
      </w:r>
      <w:r>
        <w:rPr>
          <w:rStyle w:val="24"/>
          <w:rFonts w:hint="default" w:ascii="Times New Roman" w:hAnsi="Times New Roman" w:eastAsia="方正黑体简体" w:cs="Times New Roman"/>
          <w:b w:val="0"/>
          <w:bCs/>
          <w:color w:val="auto"/>
          <w:highlight w:val="none"/>
          <w:lang w:eastAsia="zh-CN"/>
        </w:rPr>
        <w:t>单位</w:t>
      </w:r>
      <w:r>
        <w:rPr>
          <w:rStyle w:val="24"/>
          <w:rFonts w:hint="default" w:ascii="Times New Roman" w:hAnsi="Times New Roman" w:eastAsia="方正黑体简体" w:cs="Times New Roman"/>
          <w:b w:val="0"/>
          <w:bCs/>
          <w:color w:val="auto"/>
          <w:highlight w:val="none"/>
        </w:rPr>
        <w:t>决算情况说明</w:t>
      </w:r>
      <w:bookmarkEnd w:id="16"/>
      <w:bookmarkEnd w:id="17"/>
    </w:p>
    <w:p w14:paraId="3AF29AF5">
      <w:pPr>
        <w:pageBreakBefore w:val="0"/>
        <w:kinsoku/>
        <w:wordWrap/>
        <w:overflowPunct/>
        <w:topLinePunct w:val="0"/>
        <w:bidi w:val="0"/>
        <w:snapToGrid/>
        <w:spacing w:line="600" w:lineRule="exact"/>
        <w:textAlignment w:val="auto"/>
        <w:rPr>
          <w:color w:val="auto"/>
          <w:highlight w:val="none"/>
        </w:rPr>
      </w:pPr>
    </w:p>
    <w:p w14:paraId="0EC6CED3">
      <w:pPr>
        <w:pStyle w:val="23"/>
        <w:pageBreakBefore w:val="0"/>
        <w:numPr>
          <w:ilvl w:val="0"/>
          <w:numId w:val="2"/>
        </w:numPr>
        <w:kinsoku/>
        <w:wordWrap/>
        <w:overflowPunct/>
        <w:topLinePunct w:val="0"/>
        <w:bidi w:val="0"/>
        <w:snapToGrid/>
        <w:spacing w:line="600" w:lineRule="exact"/>
        <w:ind w:firstLineChars="0"/>
        <w:textAlignment w:val="auto"/>
        <w:outlineLvl w:val="1"/>
        <w:rPr>
          <w:rStyle w:val="25"/>
          <w:rFonts w:hint="default" w:ascii="Times New Roman" w:hAnsi="Times New Roman" w:eastAsia="方正黑体简体" w:cs="Times New Roman"/>
          <w:b w:val="0"/>
          <w:color w:val="auto"/>
          <w:highlight w:val="none"/>
        </w:rPr>
      </w:pPr>
      <w:bookmarkStart w:id="18" w:name="_Toc15396603"/>
      <w:bookmarkStart w:id="19" w:name="_Toc15377205"/>
      <w:r>
        <w:rPr>
          <w:rFonts w:hint="default" w:ascii="Times New Roman" w:hAnsi="Times New Roman" w:eastAsia="方正黑体简体" w:cs="Times New Roman"/>
          <w:color w:val="auto"/>
          <w:sz w:val="32"/>
          <w:szCs w:val="32"/>
          <w:highlight w:val="none"/>
        </w:rPr>
        <w:t>收</w:t>
      </w:r>
      <w:r>
        <w:rPr>
          <w:rStyle w:val="25"/>
          <w:rFonts w:hint="default" w:ascii="Times New Roman" w:hAnsi="Times New Roman" w:eastAsia="方正黑体简体" w:cs="Times New Roman"/>
          <w:b w:val="0"/>
          <w:color w:val="auto"/>
          <w:highlight w:val="none"/>
        </w:rPr>
        <w:t>入支出决算总体情况说明</w:t>
      </w:r>
      <w:bookmarkEnd w:id="18"/>
      <w:bookmarkEnd w:id="19"/>
    </w:p>
    <w:p w14:paraId="0F421D7E">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年度收、支总计</w:t>
      </w:r>
      <w:r>
        <w:rPr>
          <w:rFonts w:hint="eastAsia" w:eastAsia="方正仿宋简体" w:cs="Times New Roman"/>
          <w:color w:val="auto"/>
          <w:sz w:val="32"/>
          <w:szCs w:val="32"/>
          <w:highlight w:val="none"/>
          <w:lang w:eastAsia="zh-CN"/>
        </w:rPr>
        <w:t>各</w:t>
      </w:r>
      <w:r>
        <w:rPr>
          <w:rFonts w:hint="eastAsia" w:eastAsia="方正仿宋简体" w:cs="Times New Roman"/>
          <w:color w:val="auto"/>
          <w:sz w:val="32"/>
          <w:szCs w:val="32"/>
          <w:highlight w:val="none"/>
          <w:lang w:val="en-US" w:eastAsia="zh-CN"/>
        </w:rPr>
        <w:t>7</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099</w:t>
      </w:r>
      <w:r>
        <w:rPr>
          <w:rFonts w:hint="default"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19</w:t>
      </w:r>
      <w:r>
        <w:rPr>
          <w:rFonts w:hint="default" w:ascii="Times New Roman" w:hAnsi="Times New Roman" w:eastAsia="方正仿宋简体" w:cs="Times New Roman"/>
          <w:color w:val="auto"/>
          <w:sz w:val="32"/>
          <w:szCs w:val="32"/>
          <w:highlight w:val="none"/>
        </w:rPr>
        <w:t>万元。与20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rPr>
        <w:t>相比，收、支总计各</w:t>
      </w:r>
      <w:r>
        <w:rPr>
          <w:rFonts w:hint="eastAsia" w:eastAsia="方正仿宋简体" w:cs="Times New Roman"/>
          <w:color w:val="auto"/>
          <w:sz w:val="32"/>
          <w:szCs w:val="32"/>
          <w:highlight w:val="none"/>
          <w:lang w:eastAsia="zh-CN"/>
        </w:rPr>
        <w:t>增加</w:t>
      </w:r>
      <w:r>
        <w:rPr>
          <w:rFonts w:hint="eastAsia" w:eastAsia="方正仿宋简体" w:cs="Times New Roman"/>
          <w:color w:val="auto"/>
          <w:sz w:val="32"/>
          <w:szCs w:val="32"/>
          <w:highlight w:val="none"/>
          <w:lang w:val="en-US" w:eastAsia="zh-CN"/>
        </w:rPr>
        <w:t>702.46</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eastAsia="zh-CN"/>
        </w:rPr>
        <w:t>增长</w:t>
      </w:r>
      <w:r>
        <w:rPr>
          <w:rFonts w:hint="eastAsia" w:eastAsia="方正仿宋简体" w:cs="Times New Roman"/>
          <w:color w:val="auto"/>
          <w:sz w:val="32"/>
          <w:szCs w:val="32"/>
          <w:highlight w:val="none"/>
          <w:lang w:val="en-US" w:eastAsia="zh-CN"/>
        </w:rPr>
        <w:t>10.98</w:t>
      </w:r>
      <w:r>
        <w:rPr>
          <w:rFonts w:hint="default" w:ascii="Times New Roman" w:hAnsi="Times New Roman" w:eastAsia="方正仿宋简体" w:cs="Times New Roman"/>
          <w:color w:val="auto"/>
          <w:sz w:val="32"/>
          <w:szCs w:val="32"/>
          <w:highlight w:val="none"/>
        </w:rPr>
        <w:t>%。主要变动原因</w:t>
      </w:r>
      <w:r>
        <w:rPr>
          <w:rFonts w:hint="eastAsia" w:eastAsia="方正仿宋简体" w:cs="Times New Roman"/>
          <w:color w:val="auto"/>
          <w:sz w:val="32"/>
          <w:szCs w:val="32"/>
          <w:highlight w:val="none"/>
          <w:lang w:eastAsia="zh-CN"/>
        </w:rPr>
        <w:t>：一是人员增加，基本支出增加；；二是信息化一期工程项目拨款增加，对应支出增加</w:t>
      </w:r>
      <w:r>
        <w:rPr>
          <w:rFonts w:hint="default" w:ascii="Times New Roman" w:hAnsi="Times New Roman" w:eastAsia="方正仿宋简体" w:cs="Times New Roman"/>
          <w:color w:val="auto"/>
          <w:sz w:val="32"/>
          <w:szCs w:val="32"/>
          <w:highlight w:val="none"/>
          <w:lang w:eastAsia="zh-CN"/>
        </w:rPr>
        <w:t>。</w:t>
      </w:r>
    </w:p>
    <w:p w14:paraId="33850C4D">
      <w:pPr>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_GB2312" w:eastAsia="仿宋_GB2312"/>
          <w:color w:val="000000"/>
          <w:sz w:val="32"/>
          <w:szCs w:val="32"/>
        </w:rPr>
        <w:drawing>
          <wp:anchor distT="0" distB="0" distL="114300" distR="114300" simplePos="0" relativeHeight="251660288" behindDoc="1" locked="0" layoutInCell="1" allowOverlap="1">
            <wp:simplePos x="0" y="0"/>
            <wp:positionH relativeFrom="column">
              <wp:posOffset>66040</wp:posOffset>
            </wp:positionH>
            <wp:positionV relativeFrom="paragraph">
              <wp:posOffset>80645</wp:posOffset>
            </wp:positionV>
            <wp:extent cx="5222875" cy="2607945"/>
            <wp:effectExtent l="4445" t="4445" r="11430" b="1651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4978F5F">
      <w:pPr>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highlight w:val="none"/>
        </w:rPr>
      </w:pPr>
    </w:p>
    <w:p w14:paraId="112F5D3C">
      <w:pPr>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highlight w:val="none"/>
        </w:rPr>
      </w:pPr>
    </w:p>
    <w:p w14:paraId="57581AA8">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14:paraId="0E24372B">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14:paraId="69210569">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14:paraId="31893134">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14:paraId="2132DB59">
      <w:pPr>
        <w:pageBreakBefore w:val="0"/>
        <w:kinsoku/>
        <w:wordWrap/>
        <w:overflowPunct/>
        <w:topLinePunct w:val="0"/>
        <w:bidi w:val="0"/>
        <w:snapToGrid/>
        <w:spacing w:line="600" w:lineRule="exact"/>
        <w:ind w:firstLine="600" w:firstLineChars="200"/>
        <w:jc w:val="center"/>
        <w:textAlignment w:val="auto"/>
        <w:rPr>
          <w:rFonts w:ascii="仿宋_GB2312" w:eastAsia="仿宋_GB2312"/>
          <w:color w:val="auto"/>
          <w:sz w:val="32"/>
          <w:szCs w:val="32"/>
          <w:highlight w:val="none"/>
        </w:rPr>
      </w:pPr>
      <w:r>
        <w:rPr>
          <w:rFonts w:hint="default" w:ascii="Times New Roman" w:hAnsi="Times New Roman" w:eastAsia="方正仿宋简体" w:cs="Times New Roman"/>
          <w:color w:val="auto"/>
          <w:sz w:val="30"/>
          <w:szCs w:val="30"/>
          <w:highlight w:val="none"/>
        </w:rPr>
        <w:t>图1：收、支决算总计变动情况图</w:t>
      </w:r>
    </w:p>
    <w:p w14:paraId="554D3B99">
      <w:pPr>
        <w:pStyle w:val="23"/>
        <w:pageBreakBefore w:val="0"/>
        <w:numPr>
          <w:ilvl w:val="0"/>
          <w:numId w:val="2"/>
        </w:numPr>
        <w:kinsoku/>
        <w:wordWrap/>
        <w:overflowPunct/>
        <w:topLinePunct w:val="0"/>
        <w:bidi w:val="0"/>
        <w:snapToGrid/>
        <w:spacing w:line="600" w:lineRule="exact"/>
        <w:ind w:firstLineChars="0"/>
        <w:textAlignment w:val="auto"/>
        <w:outlineLvl w:val="1"/>
        <w:rPr>
          <w:rStyle w:val="25"/>
          <w:rFonts w:hint="default" w:ascii="Times New Roman" w:hAnsi="Times New Roman" w:eastAsia="方正黑体简体" w:cs="Times New Roman"/>
          <w:b w:val="0"/>
          <w:color w:val="auto"/>
          <w:highlight w:val="none"/>
        </w:rPr>
      </w:pPr>
      <w:bookmarkStart w:id="20" w:name="_Toc15396604"/>
      <w:bookmarkStart w:id="21" w:name="_Toc15377206"/>
      <w:r>
        <w:rPr>
          <w:rFonts w:hint="default" w:ascii="Times New Roman" w:hAnsi="Times New Roman" w:eastAsia="方正黑体简体" w:cs="Times New Roman"/>
          <w:color w:val="auto"/>
          <w:sz w:val="32"/>
          <w:szCs w:val="32"/>
          <w:highlight w:val="none"/>
        </w:rPr>
        <w:t>收</w:t>
      </w:r>
      <w:r>
        <w:rPr>
          <w:rStyle w:val="25"/>
          <w:rFonts w:hint="default" w:ascii="Times New Roman" w:hAnsi="Times New Roman" w:eastAsia="方正黑体简体" w:cs="Times New Roman"/>
          <w:b w:val="0"/>
          <w:color w:val="auto"/>
          <w:highlight w:val="none"/>
        </w:rPr>
        <w:t>入决算情况说明</w:t>
      </w:r>
      <w:bookmarkEnd w:id="20"/>
      <w:bookmarkEnd w:id="21"/>
    </w:p>
    <w:p w14:paraId="06F6EB14">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本年收入合计</w:t>
      </w:r>
      <w:r>
        <w:rPr>
          <w:rFonts w:hint="default" w:ascii="Times New Roman" w:hAnsi="Times New Roman" w:eastAsia="方正仿宋简体" w:cs="Times New Roman"/>
          <w:color w:val="auto"/>
          <w:sz w:val="32"/>
          <w:szCs w:val="32"/>
          <w:highlight w:val="none"/>
          <w:lang w:val="en-US" w:eastAsia="zh-CN"/>
        </w:rPr>
        <w:t>7,099.19</w:t>
      </w:r>
      <w:r>
        <w:rPr>
          <w:rFonts w:hint="eastAsia" w:ascii="Times New Roman" w:hAnsi="Times New Roman" w:eastAsia="方正仿宋简体" w:cs="Times New Roman"/>
          <w:color w:val="auto"/>
          <w:sz w:val="32"/>
          <w:szCs w:val="32"/>
          <w:highlight w:val="none"/>
        </w:rPr>
        <w:t>万元，其中：一般公共预算财政拨款收入</w:t>
      </w:r>
      <w:r>
        <w:rPr>
          <w:rFonts w:hint="default" w:ascii="Times New Roman" w:hAnsi="Times New Roman" w:eastAsia="方正仿宋简体" w:cs="Times New Roman"/>
          <w:color w:val="auto"/>
          <w:sz w:val="32"/>
          <w:szCs w:val="32"/>
          <w:highlight w:val="none"/>
          <w:lang w:val="en-US" w:eastAsia="zh-CN"/>
        </w:rPr>
        <w:t>7,099.19</w:t>
      </w:r>
      <w:r>
        <w:rPr>
          <w:rFonts w:hint="eastAsia" w:ascii="Times New Roman" w:hAnsi="Times New Roman" w:eastAsia="方正仿宋简体" w:cs="Times New Roman"/>
          <w:color w:val="auto"/>
          <w:sz w:val="32"/>
          <w:szCs w:val="32"/>
          <w:highlight w:val="none"/>
        </w:rPr>
        <w:t>万元，占</w:t>
      </w:r>
      <w:r>
        <w:rPr>
          <w:rFonts w:hint="eastAsia" w:ascii="Times New Roman" w:hAnsi="Times New Roman" w:eastAsia="方正仿宋简体" w:cs="Times New Roman"/>
          <w:color w:val="auto"/>
          <w:sz w:val="32"/>
          <w:szCs w:val="32"/>
          <w:highlight w:val="none"/>
          <w:lang w:val="en-US" w:eastAsia="zh-CN"/>
        </w:rPr>
        <w:t>100</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w:t>
      </w:r>
    </w:p>
    <w:p w14:paraId="1692AA26">
      <w:pPr>
        <w:pageBreakBefore w:val="0"/>
        <w:kinsoku/>
        <w:wordWrap/>
        <w:overflowPunct/>
        <w:topLinePunct w:val="0"/>
        <w:bidi w:val="0"/>
        <w:snapToGrid/>
        <w:spacing w:line="600" w:lineRule="exact"/>
        <w:ind w:firstLine="640" w:firstLineChars="200"/>
        <w:textAlignment w:val="auto"/>
        <w:outlineLvl w:val="1"/>
        <w:rPr>
          <w:rFonts w:hint="eastAsia" w:ascii="仿宋" w:hAnsi="仿宋" w:eastAsia="仿宋"/>
          <w:color w:val="auto"/>
          <w:sz w:val="32"/>
          <w:szCs w:val="32"/>
          <w:highlight w:val="none"/>
          <w:lang w:eastAsia="zh-CN"/>
        </w:rPr>
      </w:pPr>
    </w:p>
    <w:p w14:paraId="2FADBB3D">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0B523863">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4855F62D">
      <w:pPr>
        <w:pStyle w:val="23"/>
        <w:pageBreakBefore w:val="0"/>
        <w:numPr>
          <w:ilvl w:val="0"/>
          <w:numId w:val="0"/>
        </w:numPr>
        <w:kinsoku/>
        <w:wordWrap/>
        <w:overflowPunct/>
        <w:topLinePunct w:val="0"/>
        <w:bidi w:val="0"/>
        <w:snapToGrid/>
        <w:spacing w:line="600" w:lineRule="exact"/>
        <w:jc w:val="both"/>
        <w:textAlignment w:val="auto"/>
        <w:outlineLvl w:val="1"/>
        <w:rPr>
          <w:rFonts w:hint="default" w:ascii="Times New Roman" w:hAnsi="Times New Roman" w:eastAsia="方正仿宋简体" w:cs="Times New Roman"/>
          <w:color w:val="auto"/>
          <w:sz w:val="30"/>
          <w:szCs w:val="30"/>
          <w:highlight w:val="none"/>
        </w:rPr>
      </w:pPr>
    </w:p>
    <w:p w14:paraId="0E7C8688">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r>
        <w:rPr>
          <w:rFonts w:hint="eastAsia" w:ascii="仿宋" w:hAnsi="仿宋" w:eastAsia="仿宋"/>
          <w:color w:val="000000"/>
          <w:sz w:val="32"/>
          <w:szCs w:val="32"/>
        </w:rPr>
        <w:drawing>
          <wp:anchor distT="0" distB="0" distL="114300" distR="114300" simplePos="0" relativeHeight="251661312" behindDoc="1" locked="0" layoutInCell="1" allowOverlap="1">
            <wp:simplePos x="0" y="0"/>
            <wp:positionH relativeFrom="column">
              <wp:posOffset>38100</wp:posOffset>
            </wp:positionH>
            <wp:positionV relativeFrom="paragraph">
              <wp:posOffset>167005</wp:posOffset>
            </wp:positionV>
            <wp:extent cx="5193665" cy="3009265"/>
            <wp:effectExtent l="4445" t="4445" r="21590" b="1524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6EB2E16">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1FE44B59">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3CD630E0">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742E6744">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085B70FF">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216BC965">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6DEB9FC9">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2670201D">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14:paraId="6BDC10A0">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Style w:val="25"/>
          <w:rFonts w:hint="default" w:ascii="Times New Roman" w:hAnsi="Times New Roman" w:eastAsia="方正仿宋简体" w:cs="Times New Roman"/>
          <w:b w:val="0"/>
          <w:color w:val="auto"/>
          <w:sz w:val="30"/>
          <w:szCs w:val="30"/>
          <w:highlight w:val="none"/>
        </w:rPr>
      </w:pPr>
      <w:r>
        <w:rPr>
          <w:rFonts w:hint="default" w:ascii="Times New Roman" w:hAnsi="Times New Roman" w:eastAsia="方正仿宋简体" w:cs="Times New Roman"/>
          <w:color w:val="auto"/>
          <w:sz w:val="30"/>
          <w:szCs w:val="30"/>
          <w:highlight w:val="none"/>
        </w:rPr>
        <w:t>图2：收入决算结构图</w:t>
      </w:r>
      <w:bookmarkStart w:id="22" w:name="_Toc15396605"/>
      <w:bookmarkStart w:id="23" w:name="_Toc15377207"/>
    </w:p>
    <w:p w14:paraId="2952AE8D">
      <w:pPr>
        <w:pStyle w:val="23"/>
        <w:pageBreakBefore w:val="0"/>
        <w:numPr>
          <w:ilvl w:val="0"/>
          <w:numId w:val="2"/>
        </w:numPr>
        <w:kinsoku/>
        <w:wordWrap/>
        <w:overflowPunct/>
        <w:topLinePunct w:val="0"/>
        <w:bidi w:val="0"/>
        <w:snapToGrid/>
        <w:spacing w:line="600" w:lineRule="exact"/>
        <w:ind w:firstLineChars="0"/>
        <w:textAlignment w:val="auto"/>
        <w:outlineLvl w:val="1"/>
        <w:rPr>
          <w:rFonts w:hint="default" w:ascii="Times New Roman" w:hAnsi="Times New Roman" w:eastAsia="方正黑体简体" w:cs="Times New Roman"/>
          <w:color w:val="auto"/>
          <w:sz w:val="32"/>
          <w:szCs w:val="32"/>
          <w:highlight w:val="none"/>
        </w:rPr>
      </w:pPr>
      <w:r>
        <w:rPr>
          <w:rFonts w:hint="eastAsia" w:ascii="Times New Roman" w:hAnsi="Times New Roman" w:eastAsia="方正黑体简体" w:cs="Times New Roman"/>
          <w:color w:val="auto"/>
          <w:sz w:val="32"/>
          <w:szCs w:val="32"/>
          <w:highlight w:val="none"/>
        </w:rPr>
        <w:t>支出决算情况说明</w:t>
      </w:r>
      <w:bookmarkEnd w:id="22"/>
      <w:bookmarkEnd w:id="23"/>
    </w:p>
    <w:p w14:paraId="0B0F9CC3">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本年支出合计</w:t>
      </w:r>
      <w:r>
        <w:rPr>
          <w:rFonts w:hint="default" w:ascii="Times New Roman" w:hAnsi="Times New Roman" w:eastAsia="方正仿宋简体" w:cs="Times New Roman"/>
          <w:color w:val="auto"/>
          <w:sz w:val="32"/>
          <w:szCs w:val="32"/>
          <w:highlight w:val="none"/>
          <w:lang w:val="en-US" w:eastAsia="zh-CN"/>
        </w:rPr>
        <w:t>7,099.19</w:t>
      </w:r>
      <w:r>
        <w:rPr>
          <w:rFonts w:hint="eastAsia" w:ascii="Times New Roman" w:hAnsi="Times New Roman" w:eastAsia="方正仿宋简体" w:cs="Times New Roman"/>
          <w:color w:val="auto"/>
          <w:sz w:val="32"/>
          <w:szCs w:val="32"/>
          <w:highlight w:val="none"/>
        </w:rPr>
        <w:t>万元，其中：基本支出</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187.79</w:t>
      </w:r>
      <w:r>
        <w:rPr>
          <w:rFonts w:hint="eastAsia"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44.9</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；项目支出</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911.4</w:t>
      </w:r>
      <w:r>
        <w:rPr>
          <w:rFonts w:hint="eastAsia"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55.1</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w:t>
      </w:r>
    </w:p>
    <w:p w14:paraId="2AC67DF3">
      <w:pPr>
        <w:pageBreakBefore w:val="0"/>
        <w:kinsoku/>
        <w:wordWrap/>
        <w:overflowPunct/>
        <w:topLinePunct w:val="0"/>
        <w:bidi w:val="0"/>
        <w:snapToGrid/>
        <w:spacing w:line="600" w:lineRule="exact"/>
        <w:ind w:firstLine="640"/>
        <w:textAlignment w:val="auto"/>
        <w:rPr>
          <w:rFonts w:ascii="仿宋" w:hAnsi="仿宋" w:eastAsia="仿宋"/>
          <w:color w:val="auto"/>
          <w:sz w:val="32"/>
          <w:szCs w:val="32"/>
          <w:highlight w:val="none"/>
          <w:shd w:val="pct10" w:color="auto" w:fill="FFFFFF"/>
        </w:rPr>
      </w:pPr>
      <w:r>
        <w:rPr>
          <w:rFonts w:hint="eastAsia" w:ascii="黑体" w:hAnsi="黑体" w:eastAsia="黑体"/>
          <w:color w:val="000000"/>
          <w:sz w:val="32"/>
          <w:szCs w:val="32"/>
          <w:highlight w:val="none"/>
        </w:rPr>
        <w:drawing>
          <wp:anchor distT="0" distB="0" distL="114300" distR="114300" simplePos="0" relativeHeight="251662336" behindDoc="1" locked="0" layoutInCell="1" allowOverlap="1">
            <wp:simplePos x="0" y="0"/>
            <wp:positionH relativeFrom="column">
              <wp:posOffset>57150</wp:posOffset>
            </wp:positionH>
            <wp:positionV relativeFrom="paragraph">
              <wp:posOffset>209550</wp:posOffset>
            </wp:positionV>
            <wp:extent cx="5203825" cy="2857500"/>
            <wp:effectExtent l="5080" t="4445" r="1079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451DC59">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5CA70E0C">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6FF28BFF">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47C42AB2">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72EDA05B">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426EDE5D">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76C5E970">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14:paraId="4CCF2E85">
      <w:pPr>
        <w:pStyle w:val="23"/>
        <w:pageBreakBefore w:val="0"/>
        <w:numPr>
          <w:ilvl w:val="0"/>
          <w:numId w:val="0"/>
        </w:numPr>
        <w:kinsoku/>
        <w:wordWrap/>
        <w:overflowPunct/>
        <w:topLinePunct w:val="0"/>
        <w:bidi w:val="0"/>
        <w:snapToGrid/>
        <w:spacing w:line="600" w:lineRule="exact"/>
        <w:ind w:left="640" w:leftChars="0"/>
        <w:jc w:val="center"/>
        <w:textAlignment w:val="auto"/>
        <w:outlineLvl w:val="1"/>
        <w:rPr>
          <w:rFonts w:ascii="仿宋_GB2312" w:eastAsia="仿宋_GB2312"/>
          <w:color w:val="auto"/>
          <w:sz w:val="32"/>
          <w:szCs w:val="32"/>
          <w:highlight w:val="none"/>
        </w:rPr>
      </w:pPr>
      <w:r>
        <w:rPr>
          <w:rFonts w:hint="eastAsia" w:ascii="Times New Roman" w:hAnsi="Times New Roman" w:eastAsia="方正仿宋简体" w:cs="Times New Roman"/>
          <w:color w:val="auto"/>
          <w:sz w:val="30"/>
          <w:szCs w:val="30"/>
          <w:highlight w:val="none"/>
        </w:rPr>
        <w:t>图3：支出决算结构图</w:t>
      </w:r>
    </w:p>
    <w:p w14:paraId="34EE2C85">
      <w:pPr>
        <w:pStyle w:val="23"/>
        <w:pageBreakBefore w:val="0"/>
        <w:numPr>
          <w:ilvl w:val="0"/>
          <w:numId w:val="0"/>
        </w:numPr>
        <w:kinsoku/>
        <w:wordWrap/>
        <w:overflowPunct/>
        <w:topLinePunct w:val="0"/>
        <w:bidi w:val="0"/>
        <w:snapToGrid/>
        <w:spacing w:line="600" w:lineRule="exact"/>
        <w:ind w:left="640" w:leftChars="0"/>
        <w:textAlignment w:val="auto"/>
        <w:outlineLvl w:val="1"/>
        <w:rPr>
          <w:rFonts w:hint="eastAsia" w:ascii="Times New Roman" w:hAnsi="Times New Roman" w:eastAsia="方正黑体简体" w:cs="Times New Roman"/>
          <w:color w:val="auto"/>
          <w:sz w:val="32"/>
          <w:szCs w:val="32"/>
          <w:highlight w:val="none"/>
        </w:rPr>
      </w:pPr>
      <w:bookmarkStart w:id="24" w:name="_Toc15396606"/>
      <w:bookmarkStart w:id="25" w:name="_Toc15377208"/>
      <w:r>
        <w:rPr>
          <w:rFonts w:hint="eastAsia" w:ascii="Times New Roman" w:hAnsi="Times New Roman" w:eastAsia="方正黑体简体" w:cs="Times New Roman"/>
          <w:color w:val="auto"/>
          <w:sz w:val="32"/>
          <w:szCs w:val="32"/>
          <w:highlight w:val="none"/>
        </w:rPr>
        <w:t>四、财政拨款收入支出决算总体情况说明</w:t>
      </w:r>
      <w:bookmarkEnd w:id="24"/>
      <w:bookmarkEnd w:id="25"/>
    </w:p>
    <w:p w14:paraId="7CBDDD91">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rPr>
        <w:t>财政拨款收、支总计</w:t>
      </w:r>
      <w:r>
        <w:rPr>
          <w:rFonts w:hint="eastAsia" w:eastAsia="方正仿宋简体" w:cs="Times New Roman"/>
          <w:color w:val="auto"/>
          <w:sz w:val="32"/>
          <w:szCs w:val="32"/>
          <w:highlight w:val="none"/>
          <w:lang w:eastAsia="zh-CN"/>
        </w:rPr>
        <w:t>各</w:t>
      </w:r>
      <w:r>
        <w:rPr>
          <w:rFonts w:hint="default" w:ascii="Times New Roman" w:hAnsi="Times New Roman" w:eastAsia="方正仿宋简体" w:cs="Times New Roman"/>
          <w:color w:val="auto"/>
          <w:sz w:val="32"/>
          <w:szCs w:val="32"/>
          <w:highlight w:val="none"/>
          <w:lang w:val="en-US" w:eastAsia="zh-CN"/>
        </w:rPr>
        <w:t>7,099.19</w:t>
      </w:r>
      <w:r>
        <w:rPr>
          <w:rFonts w:hint="default" w:ascii="Times New Roman" w:hAnsi="Times New Roman" w:eastAsia="方正仿宋简体" w:cs="Times New Roman"/>
          <w:color w:val="auto"/>
          <w:sz w:val="32"/>
          <w:szCs w:val="32"/>
          <w:highlight w:val="none"/>
        </w:rPr>
        <w:t>万元。与20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年相比，财政拨款收、支总计各增加</w:t>
      </w:r>
      <w:r>
        <w:rPr>
          <w:rFonts w:hint="eastAsia" w:ascii="Times New Roman" w:hAnsi="Times New Roman" w:eastAsia="方正仿宋简体" w:cs="Times New Roman"/>
          <w:color w:val="auto"/>
          <w:sz w:val="32"/>
          <w:szCs w:val="32"/>
          <w:highlight w:val="none"/>
          <w:lang w:val="en-US" w:eastAsia="zh-CN"/>
        </w:rPr>
        <w:t>702.46</w:t>
      </w:r>
      <w:r>
        <w:rPr>
          <w:rFonts w:hint="default" w:ascii="Times New Roman" w:hAnsi="Times New Roman" w:eastAsia="方正仿宋简体" w:cs="Times New Roman"/>
          <w:color w:val="auto"/>
          <w:sz w:val="32"/>
          <w:szCs w:val="32"/>
          <w:highlight w:val="none"/>
        </w:rPr>
        <w:t>万元，增长</w:t>
      </w:r>
      <w:r>
        <w:rPr>
          <w:rFonts w:hint="eastAsia" w:ascii="Times New Roman" w:hAnsi="Times New Roman" w:eastAsia="方正仿宋简体" w:cs="Times New Roman"/>
          <w:color w:val="auto"/>
          <w:sz w:val="32"/>
          <w:szCs w:val="32"/>
          <w:highlight w:val="none"/>
          <w:lang w:val="en-US" w:eastAsia="zh-CN"/>
        </w:rPr>
        <w:t>10.98%</w:t>
      </w:r>
      <w:r>
        <w:rPr>
          <w:rFonts w:hint="default" w:ascii="Times New Roman" w:hAnsi="Times New Roman" w:eastAsia="方正仿宋简体" w:cs="Times New Roman"/>
          <w:color w:val="auto"/>
          <w:sz w:val="32"/>
          <w:szCs w:val="32"/>
          <w:highlight w:val="none"/>
        </w:rPr>
        <w:t>。主要变动原因</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一</w:t>
      </w:r>
      <w:r>
        <w:rPr>
          <w:rFonts w:hint="default" w:ascii="Times New Roman" w:hAnsi="Times New Roman" w:eastAsia="方正仿宋简体" w:cs="Times New Roman"/>
          <w:color w:val="auto"/>
          <w:sz w:val="32"/>
          <w:szCs w:val="32"/>
          <w:highlight w:val="none"/>
        </w:rPr>
        <w:t>是</w:t>
      </w:r>
      <w:r>
        <w:rPr>
          <w:rFonts w:hint="default" w:ascii="Times New Roman" w:hAnsi="Times New Roman" w:eastAsia="方正仿宋简体" w:cs="Times New Roman"/>
          <w:color w:val="auto"/>
          <w:sz w:val="32"/>
          <w:szCs w:val="32"/>
          <w:highlight w:val="none"/>
          <w:lang w:eastAsia="zh-CN"/>
        </w:rPr>
        <w:t>人员增加，基本支出增加；二</w:t>
      </w:r>
      <w:r>
        <w:rPr>
          <w:rFonts w:hint="eastAsia" w:eastAsia="方正仿宋简体" w:cs="Times New Roman"/>
          <w:color w:val="auto"/>
          <w:sz w:val="32"/>
          <w:szCs w:val="32"/>
          <w:highlight w:val="none"/>
          <w:lang w:eastAsia="zh-CN"/>
        </w:rPr>
        <w:t>是</w:t>
      </w:r>
      <w:r>
        <w:rPr>
          <w:rFonts w:hint="default" w:ascii="Times New Roman" w:hAnsi="Times New Roman" w:eastAsia="方正仿宋简体" w:cs="Times New Roman"/>
          <w:color w:val="auto"/>
          <w:sz w:val="32"/>
          <w:szCs w:val="32"/>
          <w:highlight w:val="none"/>
          <w:lang w:eastAsia="zh-CN"/>
        </w:rPr>
        <w:t>信息化一期工程项目拨款增加，对应支出增加。</w:t>
      </w:r>
    </w:p>
    <w:p w14:paraId="20EA2893">
      <w:pPr>
        <w:pageBreakBefore w:val="0"/>
        <w:kinsoku/>
        <w:wordWrap/>
        <w:overflowPunct/>
        <w:topLinePunct w:val="0"/>
        <w:bidi w:val="0"/>
        <w:snapToGrid/>
        <w:spacing w:line="600" w:lineRule="exact"/>
        <w:textAlignment w:val="auto"/>
        <w:rPr>
          <w:rFonts w:hint="default" w:ascii="Times New Roman" w:hAnsi="Times New Roman" w:eastAsia="方正仿宋简体" w:cs="Times New Roman"/>
          <w:color w:val="auto"/>
          <w:sz w:val="32"/>
          <w:szCs w:val="32"/>
          <w:highlight w:val="none"/>
        </w:rPr>
      </w:pPr>
    </w:p>
    <w:p w14:paraId="0CA67633">
      <w:pPr>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r>
        <w:rPr>
          <w:rFonts w:hint="eastAsia" w:ascii="仿宋" w:hAnsi="仿宋" w:eastAsia="仿宋"/>
          <w:b/>
          <w:color w:val="FF0000"/>
          <w:sz w:val="32"/>
          <w:szCs w:val="32"/>
        </w:rPr>
        <w:drawing>
          <wp:anchor distT="0" distB="0" distL="114300" distR="114300" simplePos="0" relativeHeight="251663360" behindDoc="1" locked="0" layoutInCell="1" allowOverlap="1">
            <wp:simplePos x="0" y="0"/>
            <wp:positionH relativeFrom="column">
              <wp:posOffset>-95885</wp:posOffset>
            </wp:positionH>
            <wp:positionV relativeFrom="paragraph">
              <wp:posOffset>76835</wp:posOffset>
            </wp:positionV>
            <wp:extent cx="5405755" cy="2806065"/>
            <wp:effectExtent l="4445" t="4445" r="19050" b="889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47E977A">
      <w:pPr>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14:paraId="412FB9B8">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6BA22854">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555AA343">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0B9C8DED">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7455F160">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4C19FFB0">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15258C8D">
      <w:pPr>
        <w:pageBreakBefore w:val="0"/>
        <w:kinsoku/>
        <w:wordWrap/>
        <w:overflowPunct/>
        <w:topLinePunct w:val="0"/>
        <w:bidi w:val="0"/>
        <w:snapToGrid/>
        <w:spacing w:line="600" w:lineRule="exact"/>
        <w:ind w:firstLine="560" w:firstLineChars="200"/>
        <w:jc w:val="center"/>
        <w:textAlignment w:val="auto"/>
        <w:rPr>
          <w:rFonts w:ascii="仿宋" w:hAnsi="仿宋" w:eastAsia="仿宋"/>
          <w:b/>
          <w:color w:val="auto"/>
          <w:sz w:val="28"/>
          <w:szCs w:val="28"/>
          <w:highlight w:val="none"/>
        </w:rPr>
      </w:pPr>
      <w:r>
        <w:rPr>
          <w:rFonts w:hint="default" w:ascii="Times New Roman" w:hAnsi="Times New Roman" w:eastAsia="方正仿宋简体" w:cs="Times New Roman"/>
          <w:color w:val="auto"/>
          <w:sz w:val="28"/>
          <w:szCs w:val="28"/>
          <w:highlight w:val="none"/>
        </w:rPr>
        <w:t>图4：财政拨款收、支决算总计变动情况</w:t>
      </w:r>
    </w:p>
    <w:p w14:paraId="7E07BFFB">
      <w:pPr>
        <w:pStyle w:val="23"/>
        <w:pageBreakBefore w:val="0"/>
        <w:numPr>
          <w:ilvl w:val="0"/>
          <w:numId w:val="0"/>
        </w:numPr>
        <w:kinsoku/>
        <w:wordWrap/>
        <w:overflowPunct/>
        <w:topLinePunct w:val="0"/>
        <w:bidi w:val="0"/>
        <w:snapToGrid/>
        <w:spacing w:line="600" w:lineRule="exact"/>
        <w:ind w:left="640" w:leftChars="0"/>
        <w:textAlignment w:val="auto"/>
        <w:outlineLvl w:val="1"/>
        <w:rPr>
          <w:rFonts w:hint="eastAsia" w:ascii="Times New Roman" w:hAnsi="Times New Roman" w:eastAsia="方正黑体简体" w:cs="Times New Roman"/>
          <w:color w:val="auto"/>
          <w:sz w:val="32"/>
          <w:szCs w:val="32"/>
          <w:highlight w:val="none"/>
        </w:rPr>
      </w:pPr>
      <w:bookmarkStart w:id="26" w:name="_Toc15377209"/>
      <w:bookmarkStart w:id="27" w:name="_Toc15396607"/>
      <w:r>
        <w:rPr>
          <w:rFonts w:hint="eastAsia" w:ascii="Times New Roman" w:hAnsi="Times New Roman" w:eastAsia="方正黑体简体" w:cs="Times New Roman"/>
          <w:color w:val="auto"/>
          <w:sz w:val="32"/>
          <w:szCs w:val="32"/>
          <w:highlight w:val="none"/>
        </w:rPr>
        <w:t>五、一般公共预算财政拨款支出决算情况说明</w:t>
      </w:r>
      <w:bookmarkEnd w:id="26"/>
      <w:bookmarkEnd w:id="27"/>
    </w:p>
    <w:p w14:paraId="6E728BB8">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楷体简体" w:cs="Times New Roman"/>
          <w:b/>
          <w:color w:val="auto"/>
          <w:sz w:val="32"/>
          <w:szCs w:val="32"/>
          <w:highlight w:val="none"/>
        </w:rPr>
      </w:pPr>
      <w:bookmarkStart w:id="28" w:name="_Toc15377210"/>
      <w:r>
        <w:rPr>
          <w:rFonts w:hint="default" w:ascii="Times New Roman" w:hAnsi="Times New Roman" w:eastAsia="方正楷体简体" w:cs="Times New Roman"/>
          <w:b/>
          <w:color w:val="auto"/>
          <w:sz w:val="32"/>
          <w:szCs w:val="32"/>
          <w:highlight w:val="none"/>
        </w:rPr>
        <w:t>（一）一般公共预算财政拨款支出决算总体情况</w:t>
      </w:r>
      <w:bookmarkEnd w:id="28"/>
    </w:p>
    <w:p w14:paraId="3F6A0F5E">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一般公共预算财政拨款支出</w:t>
      </w:r>
      <w:r>
        <w:rPr>
          <w:rFonts w:hint="eastAsia" w:eastAsia="方正仿宋简体" w:cs="Times New Roman"/>
          <w:color w:val="auto"/>
          <w:sz w:val="32"/>
          <w:szCs w:val="32"/>
          <w:highlight w:val="none"/>
          <w:lang w:val="en-US" w:eastAsia="zh-CN"/>
        </w:rPr>
        <w:t>7</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099</w:t>
      </w:r>
      <w:r>
        <w:rPr>
          <w:rFonts w:hint="default"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19</w:t>
      </w:r>
      <w:r>
        <w:rPr>
          <w:rFonts w:hint="eastAsia" w:ascii="Times New Roman" w:hAnsi="Times New Roman" w:eastAsia="方正仿宋简体" w:cs="Times New Roman"/>
          <w:color w:val="auto"/>
          <w:sz w:val="32"/>
          <w:szCs w:val="32"/>
          <w:highlight w:val="none"/>
        </w:rPr>
        <w:t>万元，占本年支出合计的</w:t>
      </w:r>
      <w:r>
        <w:rPr>
          <w:rFonts w:hint="eastAsia" w:ascii="Times New Roman" w:hAnsi="Times New Roman" w:eastAsia="方正仿宋简体" w:cs="Times New Roman"/>
          <w:color w:val="auto"/>
          <w:sz w:val="32"/>
          <w:szCs w:val="32"/>
          <w:highlight w:val="none"/>
          <w:lang w:val="en-US" w:eastAsia="zh-CN"/>
        </w:rPr>
        <w:t>100</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。与</w:t>
      </w: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相比，一般公共预算财政拨款</w:t>
      </w:r>
      <w:r>
        <w:rPr>
          <w:rFonts w:hint="eastAsia" w:ascii="Times New Roman" w:hAnsi="Times New Roman" w:eastAsia="方正仿宋简体" w:cs="Times New Roman"/>
          <w:color w:val="auto"/>
          <w:sz w:val="32"/>
          <w:szCs w:val="32"/>
          <w:highlight w:val="none"/>
          <w:lang w:eastAsia="zh-CN"/>
        </w:rPr>
        <w:t>支出</w:t>
      </w:r>
      <w:r>
        <w:rPr>
          <w:rFonts w:hint="default" w:ascii="Times New Roman" w:hAnsi="Times New Roman" w:eastAsia="方正仿宋简体" w:cs="Times New Roman"/>
          <w:color w:val="auto"/>
          <w:sz w:val="32"/>
          <w:szCs w:val="32"/>
          <w:highlight w:val="none"/>
        </w:rPr>
        <w:t>增加</w:t>
      </w:r>
      <w:r>
        <w:rPr>
          <w:rFonts w:hint="eastAsia" w:ascii="Times New Roman" w:hAnsi="Times New Roman" w:eastAsia="方正仿宋简体" w:cs="Times New Roman"/>
          <w:color w:val="auto"/>
          <w:sz w:val="32"/>
          <w:szCs w:val="32"/>
          <w:highlight w:val="none"/>
          <w:lang w:val="en-US" w:eastAsia="zh-CN"/>
        </w:rPr>
        <w:t>702.46</w:t>
      </w:r>
      <w:r>
        <w:rPr>
          <w:rFonts w:hint="default" w:ascii="Times New Roman" w:hAnsi="Times New Roman" w:eastAsia="方正仿宋简体" w:cs="Times New Roman"/>
          <w:color w:val="auto"/>
          <w:sz w:val="32"/>
          <w:szCs w:val="32"/>
          <w:highlight w:val="none"/>
        </w:rPr>
        <w:t>万元，增长</w:t>
      </w:r>
      <w:r>
        <w:rPr>
          <w:rFonts w:hint="eastAsia" w:ascii="Times New Roman" w:hAnsi="Times New Roman" w:eastAsia="方正仿宋简体" w:cs="Times New Roman"/>
          <w:color w:val="auto"/>
          <w:sz w:val="32"/>
          <w:szCs w:val="32"/>
          <w:highlight w:val="none"/>
          <w:lang w:val="en-US" w:eastAsia="zh-CN"/>
        </w:rPr>
        <w:t>10.98%</w:t>
      </w:r>
      <w:r>
        <w:rPr>
          <w:rFonts w:hint="default" w:ascii="Times New Roman" w:hAnsi="Times New Roman" w:eastAsia="方正仿宋简体" w:cs="Times New Roman"/>
          <w:color w:val="auto"/>
          <w:sz w:val="32"/>
          <w:szCs w:val="32"/>
          <w:highlight w:val="none"/>
        </w:rPr>
        <w:t>。主要变动原因是</w:t>
      </w:r>
      <w:r>
        <w:rPr>
          <w:rFonts w:hint="default" w:ascii="Times New Roman" w:hAnsi="Times New Roman" w:eastAsia="方正仿宋简体" w:cs="Times New Roman"/>
          <w:color w:val="auto"/>
          <w:sz w:val="32"/>
          <w:szCs w:val="32"/>
          <w:highlight w:val="none"/>
          <w:lang w:eastAsia="zh-CN"/>
        </w:rPr>
        <w:t>：一人员增加，基本支出增加；二信息化一期工程项目拨款增加，对应支出增加。</w:t>
      </w:r>
    </w:p>
    <w:p w14:paraId="37A7FE45">
      <w:pPr>
        <w:pageBreakBefore w:val="0"/>
        <w:kinsoku/>
        <w:wordWrap/>
        <w:overflowPunct/>
        <w:topLinePunct w:val="0"/>
        <w:bidi w:val="0"/>
        <w:snapToGrid/>
        <w:spacing w:line="600" w:lineRule="exact"/>
        <w:jc w:val="both"/>
        <w:textAlignment w:val="auto"/>
        <w:rPr>
          <w:rFonts w:hint="default" w:ascii="Times New Roman" w:hAnsi="Times New Roman" w:eastAsia="方正仿宋简体" w:cs="Times New Roman"/>
          <w:color w:val="auto"/>
          <w:sz w:val="28"/>
          <w:szCs w:val="28"/>
          <w:highlight w:val="none"/>
        </w:rPr>
      </w:pPr>
    </w:p>
    <w:p w14:paraId="53F1F7C5">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49CD0B4F">
      <w:pPr>
        <w:pageBreakBefore w:val="0"/>
        <w:kinsoku/>
        <w:wordWrap/>
        <w:overflowPunct/>
        <w:topLinePunct w:val="0"/>
        <w:bidi w:val="0"/>
        <w:snapToGrid/>
        <w:spacing w:line="600" w:lineRule="exact"/>
        <w:ind w:firstLine="640" w:firstLineChars="200"/>
        <w:jc w:val="center"/>
        <w:textAlignment w:val="auto"/>
        <w:rPr>
          <w:rFonts w:hint="default" w:ascii="Times New Roman" w:hAnsi="Times New Roman" w:eastAsia="方正仿宋简体" w:cs="Times New Roman"/>
          <w:color w:val="auto"/>
          <w:sz w:val="28"/>
          <w:szCs w:val="28"/>
          <w:highlight w:val="none"/>
        </w:rPr>
      </w:pPr>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posOffset>38735</wp:posOffset>
            </wp:positionH>
            <wp:positionV relativeFrom="paragraph">
              <wp:posOffset>-47625</wp:posOffset>
            </wp:positionV>
            <wp:extent cx="5156835" cy="2658110"/>
            <wp:effectExtent l="4445" t="4445" r="20320" b="2349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736AD00">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06BDABD9">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21B1B77B">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21003550">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1C5F4934">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1F8FA1CD">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37764BA8">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图5：一般公共预算财政拨款支出决算变动情况</w:t>
      </w:r>
    </w:p>
    <w:p w14:paraId="3930B2BE">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楷体简体" w:cs="Times New Roman"/>
          <w:b/>
          <w:color w:val="auto"/>
          <w:sz w:val="32"/>
          <w:szCs w:val="32"/>
          <w:highlight w:val="none"/>
        </w:rPr>
      </w:pPr>
      <w:bookmarkStart w:id="29" w:name="_Toc15377211"/>
      <w:r>
        <w:rPr>
          <w:rFonts w:hint="eastAsia" w:ascii="Times New Roman" w:hAnsi="Times New Roman" w:eastAsia="方正楷体简体" w:cs="Times New Roman"/>
          <w:b/>
          <w:color w:val="auto"/>
          <w:sz w:val="32"/>
          <w:szCs w:val="32"/>
          <w:highlight w:val="none"/>
        </w:rPr>
        <w:t>（二）一般公共预算财政拨款支出决算结构情况</w:t>
      </w:r>
      <w:bookmarkEnd w:id="29"/>
    </w:p>
    <w:p w14:paraId="665177F7">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b/>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5408" behindDoc="1" locked="0" layoutInCell="1" allowOverlap="1">
            <wp:simplePos x="0" y="0"/>
            <wp:positionH relativeFrom="column">
              <wp:posOffset>38100</wp:posOffset>
            </wp:positionH>
            <wp:positionV relativeFrom="paragraph">
              <wp:posOffset>1895475</wp:posOffset>
            </wp:positionV>
            <wp:extent cx="5165725" cy="3048000"/>
            <wp:effectExtent l="4445" t="4445" r="11430" b="1460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rPr>
        <w:t>一般公共预算财政拨款支出</w:t>
      </w:r>
      <w:r>
        <w:rPr>
          <w:rFonts w:hint="eastAsia" w:eastAsia="方正仿宋简体" w:cs="Times New Roman"/>
          <w:color w:val="auto"/>
          <w:sz w:val="32"/>
          <w:szCs w:val="32"/>
          <w:highlight w:val="none"/>
          <w:lang w:val="en-US" w:eastAsia="zh-CN"/>
        </w:rPr>
        <w:t>7</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099</w:t>
      </w:r>
      <w:r>
        <w:rPr>
          <w:rFonts w:hint="default"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19</w:t>
      </w:r>
      <w:r>
        <w:rPr>
          <w:rFonts w:hint="default" w:ascii="Times New Roman" w:hAnsi="Times New Roman" w:eastAsia="方正仿宋简体" w:cs="Times New Roman"/>
          <w:color w:val="auto"/>
          <w:sz w:val="32"/>
          <w:szCs w:val="32"/>
          <w:highlight w:val="none"/>
        </w:rPr>
        <w:t>万元，主要用于以下方面:</w:t>
      </w:r>
      <w:r>
        <w:rPr>
          <w:rFonts w:hint="default" w:ascii="Times New Roman" w:hAnsi="Times New Roman" w:eastAsia="方正仿宋简体" w:cs="Times New Roman"/>
          <w:b/>
          <w:color w:val="auto"/>
          <w:sz w:val="32"/>
          <w:szCs w:val="32"/>
          <w:highlight w:val="none"/>
        </w:rPr>
        <w:t>一般公共服务</w:t>
      </w:r>
      <w:r>
        <w:rPr>
          <w:rFonts w:hint="default" w:ascii="Times New Roman" w:hAnsi="Times New Roman" w:eastAsia="方正仿宋简体" w:cs="Times New Roman"/>
          <w:b/>
          <w:bCs/>
          <w:color w:val="auto"/>
          <w:sz w:val="32"/>
          <w:szCs w:val="32"/>
          <w:highlight w:val="none"/>
        </w:rPr>
        <w:t>支出</w:t>
      </w:r>
      <w:r>
        <w:rPr>
          <w:rFonts w:hint="eastAsia" w:eastAsia="方正仿宋简体" w:cs="Times New Roman"/>
          <w:color w:val="auto"/>
          <w:sz w:val="32"/>
          <w:szCs w:val="32"/>
          <w:highlight w:val="none"/>
          <w:lang w:val="en-US" w:eastAsia="zh-CN"/>
        </w:rPr>
        <w:t>209.74</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2.95</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color w:val="auto"/>
          <w:sz w:val="32"/>
          <w:szCs w:val="32"/>
          <w:highlight w:val="none"/>
        </w:rPr>
        <w:t>教育支出</w:t>
      </w:r>
      <w:r>
        <w:rPr>
          <w:rFonts w:hint="eastAsia" w:eastAsia="方正仿宋简体" w:cs="Times New Roman"/>
          <w:color w:val="auto"/>
          <w:sz w:val="32"/>
          <w:szCs w:val="32"/>
          <w:highlight w:val="none"/>
          <w:lang w:val="en-US" w:eastAsia="zh-CN"/>
        </w:rPr>
        <w:t>89.73</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1.26</w:t>
      </w:r>
      <w:r>
        <w:rPr>
          <w:rFonts w:hint="default" w:ascii="Times New Roman" w:hAnsi="Times New Roman" w:eastAsia="方正仿宋简体" w:cs="Times New Roman"/>
          <w:color w:val="auto"/>
          <w:sz w:val="32"/>
          <w:szCs w:val="32"/>
          <w:highlight w:val="none"/>
        </w:rPr>
        <w:t>%</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社会保障和就业</w:t>
      </w:r>
      <w:r>
        <w:rPr>
          <w:rFonts w:hint="default" w:ascii="Times New Roman" w:hAnsi="Times New Roman" w:eastAsia="方正仿宋简体" w:cs="Times New Roman"/>
          <w:b/>
          <w:bCs/>
          <w:color w:val="auto"/>
          <w:sz w:val="32"/>
          <w:szCs w:val="32"/>
          <w:highlight w:val="none"/>
        </w:rPr>
        <w:t>支出</w:t>
      </w:r>
      <w:r>
        <w:rPr>
          <w:rFonts w:hint="eastAsia"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244.11</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87.96</w:t>
      </w:r>
      <w:r>
        <w:rPr>
          <w:rFonts w:hint="default" w:ascii="Times New Roman" w:hAnsi="Times New Roman" w:eastAsia="方正仿宋简体" w:cs="Times New Roman"/>
          <w:color w:val="auto"/>
          <w:sz w:val="32"/>
          <w:szCs w:val="32"/>
          <w:highlight w:val="none"/>
        </w:rPr>
        <w:t>%</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卫生健康支出</w:t>
      </w:r>
      <w:r>
        <w:rPr>
          <w:rFonts w:hint="eastAsia" w:eastAsia="方正仿宋简体" w:cs="Times New Roman"/>
          <w:color w:val="auto"/>
          <w:sz w:val="32"/>
          <w:szCs w:val="32"/>
          <w:highlight w:val="none"/>
          <w:lang w:val="en-US" w:eastAsia="zh-CN"/>
        </w:rPr>
        <w:t>171.22</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2.41</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bCs/>
          <w:color w:val="auto"/>
          <w:sz w:val="32"/>
          <w:szCs w:val="32"/>
          <w:highlight w:val="none"/>
        </w:rPr>
        <w:t>住房保障支出</w:t>
      </w:r>
      <w:r>
        <w:rPr>
          <w:rFonts w:hint="eastAsia" w:eastAsia="方正仿宋简体" w:cs="Times New Roman"/>
          <w:color w:val="auto"/>
          <w:sz w:val="32"/>
          <w:szCs w:val="32"/>
          <w:highlight w:val="none"/>
          <w:lang w:val="en-US" w:eastAsia="zh-CN"/>
        </w:rPr>
        <w:t>384.39</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5.42</w:t>
      </w:r>
      <w:r>
        <w:rPr>
          <w:rFonts w:hint="default" w:ascii="Times New Roman" w:hAnsi="Times New Roman" w:eastAsia="方正仿宋简体" w:cs="Times New Roman"/>
          <w:color w:val="auto"/>
          <w:sz w:val="32"/>
          <w:szCs w:val="32"/>
          <w:highlight w:val="none"/>
        </w:rPr>
        <w:t>%。</w:t>
      </w:r>
    </w:p>
    <w:p w14:paraId="69A6A4B8">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p>
    <w:p w14:paraId="3C9F94BA">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29DEAE0A">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6F6FCCCC">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7B4259E2">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707993D5">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2DAC32BA">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1B090D60">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14:paraId="07566DC1">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图6：一般公共预算财政拨款支出决算结构</w:t>
      </w:r>
    </w:p>
    <w:p w14:paraId="6C782AC6">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30" w:name="_Toc15377212"/>
      <w:r>
        <w:rPr>
          <w:rFonts w:hint="eastAsia" w:ascii="Times New Roman" w:hAnsi="Times New Roman" w:eastAsia="方正楷体简体" w:cs="Times New Roman"/>
          <w:b/>
          <w:color w:val="auto"/>
          <w:sz w:val="32"/>
          <w:szCs w:val="32"/>
          <w:highlight w:val="none"/>
        </w:rPr>
        <w:t>（三）一般公共预算财政拨款支出决算具体情况</w:t>
      </w:r>
      <w:bookmarkEnd w:id="30"/>
    </w:p>
    <w:p w14:paraId="620694D8">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仿宋简体" w:cs="Times New Roman"/>
          <w:color w:val="auto"/>
          <w:sz w:val="32"/>
          <w:szCs w:val="32"/>
          <w:highlight w:val="none"/>
        </w:rPr>
      </w:pPr>
      <w:bookmarkStart w:id="31" w:name="_Toc15377213"/>
      <w:bookmarkStart w:id="32" w:name="_Toc15377444"/>
      <w:bookmarkStart w:id="33" w:name="_Toc15378460"/>
      <w:r>
        <w:rPr>
          <w:rFonts w:hint="default" w:ascii="Times New Roman" w:hAnsi="Times New Roman" w:eastAsia="方正仿宋简体" w:cs="Times New Roman"/>
          <w:b/>
          <w:color w:val="auto"/>
          <w:sz w:val="32"/>
          <w:szCs w:val="32"/>
          <w:highlight w:val="none"/>
        </w:rPr>
        <w:t>20</w:t>
      </w:r>
      <w:r>
        <w:rPr>
          <w:rFonts w:hint="default" w:ascii="Times New Roman" w:hAnsi="Times New Roman" w:eastAsia="方正仿宋简体" w:cs="Times New Roman"/>
          <w:b/>
          <w:color w:val="auto"/>
          <w:sz w:val="32"/>
          <w:szCs w:val="32"/>
          <w:highlight w:val="none"/>
          <w:lang w:val="en-US" w:eastAsia="zh-CN"/>
        </w:rPr>
        <w:t>2</w:t>
      </w:r>
      <w:r>
        <w:rPr>
          <w:rFonts w:hint="eastAsia" w:eastAsia="方正仿宋简体" w:cs="Times New Roman"/>
          <w:b/>
          <w:color w:val="auto"/>
          <w:sz w:val="32"/>
          <w:szCs w:val="32"/>
          <w:highlight w:val="none"/>
          <w:lang w:val="en-US" w:eastAsia="zh-CN"/>
        </w:rPr>
        <w:t>3</w:t>
      </w:r>
      <w:r>
        <w:rPr>
          <w:rFonts w:hint="default" w:ascii="Times New Roman" w:hAnsi="Times New Roman" w:eastAsia="方正仿宋简体" w:cs="Times New Roman"/>
          <w:b/>
          <w:color w:val="auto"/>
          <w:sz w:val="32"/>
          <w:szCs w:val="32"/>
          <w:highlight w:val="none"/>
        </w:rPr>
        <w:t>年</w:t>
      </w:r>
      <w:r>
        <w:rPr>
          <w:rFonts w:hint="eastAsia" w:eastAsia="方正仿宋简体" w:cs="Times New Roman"/>
          <w:b/>
          <w:color w:val="auto"/>
          <w:sz w:val="32"/>
          <w:szCs w:val="32"/>
          <w:highlight w:val="none"/>
          <w:lang w:eastAsia="zh-CN"/>
        </w:rPr>
        <w:t>度</w:t>
      </w:r>
      <w:r>
        <w:rPr>
          <w:rFonts w:hint="default" w:ascii="Times New Roman" w:hAnsi="Times New Roman" w:eastAsia="方正仿宋简体" w:cs="Times New Roman"/>
          <w:b/>
          <w:color w:val="auto"/>
          <w:sz w:val="32"/>
          <w:szCs w:val="32"/>
          <w:highlight w:val="none"/>
          <w:lang w:eastAsia="zh-CN"/>
        </w:rPr>
        <w:t>一</w:t>
      </w:r>
      <w:r>
        <w:rPr>
          <w:rFonts w:hint="default" w:ascii="Times New Roman" w:hAnsi="Times New Roman" w:eastAsia="方正仿宋简体" w:cs="Times New Roman"/>
          <w:b/>
          <w:color w:val="auto"/>
          <w:sz w:val="32"/>
          <w:szCs w:val="32"/>
          <w:highlight w:val="none"/>
        </w:rPr>
        <w:t>般公共预算</w:t>
      </w:r>
      <w:r>
        <w:rPr>
          <w:rFonts w:hint="eastAsia" w:ascii="仿宋" w:hAnsi="仿宋" w:eastAsia="仿宋"/>
          <w:b/>
          <w:bCs/>
          <w:color w:val="auto"/>
          <w:sz w:val="32"/>
          <w:szCs w:val="32"/>
          <w:highlight w:val="none"/>
          <w:lang w:eastAsia="zh-CN"/>
        </w:rPr>
        <w:t>支出</w:t>
      </w:r>
      <w:r>
        <w:rPr>
          <w:rFonts w:hint="default" w:ascii="Times New Roman" w:hAnsi="Times New Roman" w:eastAsia="方正仿宋简体" w:cs="Times New Roman"/>
          <w:b/>
          <w:color w:val="auto"/>
          <w:sz w:val="32"/>
          <w:szCs w:val="32"/>
          <w:highlight w:val="none"/>
        </w:rPr>
        <w:t>决算数为</w:t>
      </w:r>
      <w:r>
        <w:rPr>
          <w:rFonts w:hint="eastAsia" w:eastAsia="方正仿宋简体" w:cs="Times New Roman"/>
          <w:b/>
          <w:color w:val="auto"/>
          <w:sz w:val="32"/>
          <w:szCs w:val="32"/>
          <w:highlight w:val="none"/>
          <w:lang w:val="en-US" w:eastAsia="zh-CN"/>
        </w:rPr>
        <w:t>7</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Fonts w:hint="eastAsia" w:eastAsia="方正仿宋简体" w:cs="Times New Roman"/>
          <w:b/>
          <w:color w:val="auto"/>
          <w:sz w:val="32"/>
          <w:szCs w:val="32"/>
          <w:highlight w:val="none"/>
          <w:lang w:val="en-US" w:eastAsia="zh-CN"/>
        </w:rPr>
        <w:t>099.19万元</w:t>
      </w:r>
      <w:r>
        <w:rPr>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bCs/>
          <w:color w:val="auto"/>
          <w:sz w:val="32"/>
          <w:szCs w:val="32"/>
          <w:highlight w:val="none"/>
        </w:rPr>
        <w:t>完成预算</w:t>
      </w:r>
      <w:r>
        <w:rPr>
          <w:rStyle w:val="14"/>
          <w:rFonts w:hint="eastAsia" w:eastAsia="方正仿宋简体" w:cs="Times New Roman"/>
          <w:bCs/>
          <w:color w:val="auto"/>
          <w:sz w:val="32"/>
          <w:szCs w:val="32"/>
          <w:highlight w:val="none"/>
          <w:lang w:val="en-US" w:eastAsia="zh-CN"/>
        </w:rPr>
        <w:t>97.78</w:t>
      </w:r>
      <w:r>
        <w:rPr>
          <w:rStyle w:val="14"/>
          <w:rFonts w:hint="default" w:ascii="Times New Roman" w:hAnsi="Times New Roman" w:eastAsia="方正仿宋简体" w:cs="Times New Roman"/>
          <w:bCs/>
          <w:color w:val="auto"/>
          <w:sz w:val="32"/>
          <w:szCs w:val="32"/>
          <w:highlight w:val="none"/>
        </w:rPr>
        <w:t>%。其中：</w:t>
      </w:r>
      <w:bookmarkEnd w:id="31"/>
      <w:bookmarkEnd w:id="32"/>
      <w:bookmarkEnd w:id="33"/>
    </w:p>
    <w:p w14:paraId="2B79806F">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仿宋" w:cs="Times New Roman"/>
          <w:b w:val="0"/>
          <w:bCs/>
          <w:color w:val="auto"/>
          <w:sz w:val="32"/>
          <w:szCs w:val="32"/>
          <w:highlight w:val="none"/>
          <w:lang w:eastAsia="zh-CN"/>
        </w:rPr>
      </w:pPr>
      <w:r>
        <w:rPr>
          <w:rStyle w:val="14"/>
          <w:rFonts w:hint="eastAsia" w:eastAsia="方正仿宋简体" w:cs="Times New Roman"/>
          <w:bCs/>
          <w:color w:val="auto"/>
          <w:sz w:val="32"/>
          <w:szCs w:val="32"/>
          <w:highlight w:val="none"/>
          <w:lang w:val="en-US" w:eastAsia="zh-CN"/>
        </w:rPr>
        <w:t>1.</w:t>
      </w:r>
      <w:r>
        <w:rPr>
          <w:rStyle w:val="14"/>
          <w:rFonts w:hint="default" w:ascii="Times New Roman" w:hAnsi="Times New Roman" w:eastAsia="方正仿宋简体" w:cs="Times New Roman"/>
          <w:bCs/>
          <w:color w:val="auto"/>
          <w:sz w:val="32"/>
          <w:szCs w:val="32"/>
          <w:highlight w:val="none"/>
        </w:rPr>
        <w:t>一般公共服务（类）政府办公厅（室）及相关机构事务（款）其他政府办公厅（室）及相关机构事务支出（项）</w:t>
      </w:r>
      <w:r>
        <w:rPr>
          <w:rStyle w:val="14"/>
          <w:rFonts w:hint="eastAsia" w:eastAsia="方正仿宋简体" w:cs="Times New Roman"/>
          <w:bCs/>
          <w:color w:val="auto"/>
          <w:sz w:val="32"/>
          <w:szCs w:val="32"/>
          <w:highlight w:val="none"/>
          <w:lang w:eastAsia="zh-CN"/>
        </w:rPr>
        <w:t>：</w:t>
      </w:r>
      <w:r>
        <w:rPr>
          <w:rStyle w:val="14"/>
          <w:rFonts w:hint="default" w:ascii="Times New Roman" w:hAnsi="Times New Roman" w:eastAsia="方正仿宋简体" w:cs="Times New Roman"/>
          <w:b w:val="0"/>
          <w:bCs/>
          <w:color w:val="auto"/>
          <w:sz w:val="32"/>
          <w:szCs w:val="32"/>
          <w:highlight w:val="none"/>
        </w:rPr>
        <w:t>支出决算为</w:t>
      </w:r>
      <w:r>
        <w:rPr>
          <w:rStyle w:val="14"/>
          <w:rFonts w:hint="eastAsia" w:eastAsia="方正仿宋简体" w:cs="Times New Roman"/>
          <w:b w:val="0"/>
          <w:bCs/>
          <w:color w:val="auto"/>
          <w:sz w:val="32"/>
          <w:szCs w:val="32"/>
          <w:highlight w:val="none"/>
          <w:lang w:val="en-US" w:eastAsia="zh-CN"/>
        </w:rPr>
        <w:t>197.85</w:t>
      </w:r>
      <w:r>
        <w:rPr>
          <w:rStyle w:val="14"/>
          <w:rFonts w:hint="default" w:ascii="Times New Roman" w:hAnsi="Times New Roman" w:eastAsia="方正仿宋简体" w:cs="Times New Roman"/>
          <w:b w:val="0"/>
          <w:bCs/>
          <w:color w:val="auto"/>
          <w:sz w:val="32"/>
          <w:szCs w:val="32"/>
          <w:highlight w:val="none"/>
        </w:rPr>
        <w:t>万元，完成预算</w:t>
      </w:r>
      <w:r>
        <w:rPr>
          <w:rStyle w:val="14"/>
          <w:rFonts w:hint="eastAsia" w:eastAsia="方正仿宋简体" w:cs="Times New Roman"/>
          <w:b w:val="0"/>
          <w:bCs/>
          <w:color w:val="auto"/>
          <w:sz w:val="32"/>
          <w:szCs w:val="32"/>
          <w:highlight w:val="none"/>
          <w:lang w:val="en-US" w:eastAsia="zh-CN"/>
        </w:rPr>
        <w:t>100</w:t>
      </w:r>
      <w:r>
        <w:rPr>
          <w:rStyle w:val="14"/>
          <w:rFonts w:hint="default" w:ascii="Times New Roman" w:hAnsi="Times New Roman" w:eastAsia="方正仿宋简体" w:cs="Times New Roman"/>
          <w:b w:val="0"/>
          <w:bCs/>
          <w:color w:val="auto"/>
          <w:sz w:val="32"/>
          <w:szCs w:val="32"/>
          <w:highlight w:val="none"/>
        </w:rPr>
        <w:t>%</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0C67AB9B">
      <w:pPr>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Style w:val="14"/>
          <w:rFonts w:hint="default" w:ascii="Times New Roman" w:hAnsi="Times New Roman" w:eastAsia="方正仿宋简体" w:cs="Times New Roman"/>
          <w:b/>
          <w:bCs/>
          <w:color w:val="auto"/>
          <w:kern w:val="2"/>
          <w:sz w:val="32"/>
          <w:szCs w:val="32"/>
          <w:highlight w:val="none"/>
          <w:lang w:val="en-US" w:eastAsia="zh-CN" w:bidi="ar-SA"/>
        </w:rPr>
        <w:t xml:space="preserve"> 2. </w:t>
      </w:r>
      <w:r>
        <w:rPr>
          <w:rStyle w:val="14"/>
          <w:rFonts w:hint="eastAsia" w:ascii="Times New Roman" w:hAnsi="Times New Roman" w:eastAsia="方正仿宋简体" w:cs="Times New Roman"/>
          <w:b/>
          <w:bCs/>
          <w:color w:val="auto"/>
          <w:kern w:val="2"/>
          <w:sz w:val="32"/>
          <w:szCs w:val="32"/>
          <w:highlight w:val="none"/>
          <w:lang w:val="en-US" w:eastAsia="zh-CN" w:bidi="ar-SA"/>
        </w:rPr>
        <w:t>一般公共服务（类）市场监督管理事务（款）其他市场监督管理事务（项）</w:t>
      </w:r>
      <w:r>
        <w:rPr>
          <w:rStyle w:val="14"/>
          <w:rFonts w:hint="eastAsia" w:eastAsia="方正仿宋简体" w:cs="Times New Roman"/>
          <w:b/>
          <w:bCs/>
          <w:color w:val="auto"/>
          <w:kern w:val="2"/>
          <w:sz w:val="32"/>
          <w:szCs w:val="32"/>
          <w:highlight w:val="none"/>
          <w:lang w:val="en-US" w:eastAsia="zh-CN" w:bidi="ar-SA"/>
        </w:rPr>
        <w:t>：</w:t>
      </w:r>
      <w:r>
        <w:rPr>
          <w:rStyle w:val="14"/>
          <w:rFonts w:hint="default" w:ascii="Times New Roman" w:hAnsi="Times New Roman" w:eastAsia="方正仿宋简体" w:cs="Times New Roman"/>
          <w:b w:val="0"/>
          <w:bCs/>
          <w:color w:val="auto"/>
          <w:sz w:val="32"/>
          <w:szCs w:val="32"/>
          <w:highlight w:val="none"/>
        </w:rPr>
        <w:t>支出决算为</w:t>
      </w:r>
      <w:r>
        <w:rPr>
          <w:rStyle w:val="14"/>
          <w:rFonts w:hint="default" w:ascii="Times New Roman" w:hAnsi="Times New Roman" w:eastAsia="方正仿宋简体" w:cs="Times New Roman"/>
          <w:b w:val="0"/>
          <w:bCs/>
          <w:color w:val="auto"/>
          <w:sz w:val="32"/>
          <w:szCs w:val="32"/>
          <w:highlight w:val="none"/>
          <w:lang w:val="en-US" w:eastAsia="zh-CN"/>
        </w:rPr>
        <w:t>1</w:t>
      </w:r>
      <w:r>
        <w:rPr>
          <w:rStyle w:val="14"/>
          <w:rFonts w:hint="eastAsia" w:eastAsia="方正仿宋简体" w:cs="Times New Roman"/>
          <w:b w:val="0"/>
          <w:bCs/>
          <w:color w:val="auto"/>
          <w:sz w:val="32"/>
          <w:szCs w:val="32"/>
          <w:highlight w:val="none"/>
          <w:lang w:val="en-US" w:eastAsia="zh-CN"/>
        </w:rPr>
        <w:t>1.89</w:t>
      </w:r>
      <w:r>
        <w:rPr>
          <w:rStyle w:val="14"/>
          <w:rFonts w:hint="default" w:ascii="Times New Roman" w:hAnsi="Times New Roman" w:eastAsia="方正仿宋简体" w:cs="Times New Roman"/>
          <w:b w:val="0"/>
          <w:bCs/>
          <w:color w:val="auto"/>
          <w:sz w:val="32"/>
          <w:szCs w:val="32"/>
          <w:highlight w:val="none"/>
        </w:rPr>
        <w:t>万元，完成预算</w:t>
      </w:r>
      <w:r>
        <w:rPr>
          <w:rStyle w:val="14"/>
          <w:rFonts w:hint="default" w:ascii="Times New Roman" w:hAnsi="Times New Roman" w:eastAsia="方正仿宋简体" w:cs="Times New Roman"/>
          <w:b w:val="0"/>
          <w:bCs/>
          <w:color w:val="auto"/>
          <w:sz w:val="32"/>
          <w:szCs w:val="32"/>
          <w:highlight w:val="none"/>
          <w:lang w:val="en-US" w:eastAsia="zh-CN"/>
        </w:rPr>
        <w:t>100</w:t>
      </w:r>
      <w:r>
        <w:rPr>
          <w:rStyle w:val="14"/>
          <w:rFonts w:hint="default" w:ascii="Times New Roman" w:hAnsi="Times New Roman" w:eastAsia="方正仿宋简体" w:cs="Times New Roman"/>
          <w:b w:val="0"/>
          <w:bCs/>
          <w:color w:val="auto"/>
          <w:sz w:val="32"/>
          <w:szCs w:val="32"/>
          <w:highlight w:val="none"/>
        </w:rPr>
        <w:t>%</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2699A47A">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方正仿宋简体" w:cs="Times New Roman"/>
          <w:b w:val="0"/>
          <w:bCs/>
          <w:color w:val="auto"/>
          <w:sz w:val="32"/>
          <w:szCs w:val="32"/>
          <w:highlight w:val="none"/>
        </w:rPr>
      </w:pPr>
      <w:r>
        <w:rPr>
          <w:rStyle w:val="14"/>
          <w:rFonts w:hint="eastAsia" w:ascii="Times New Roman" w:hAnsi="Times New Roman" w:eastAsia="方正仿宋简体" w:cs="Times New Roman"/>
          <w:bCs/>
          <w:color w:val="auto"/>
          <w:sz w:val="32"/>
          <w:szCs w:val="32"/>
          <w:highlight w:val="none"/>
          <w:lang w:val="en-US" w:eastAsia="zh-CN"/>
        </w:rPr>
        <w:t>3.教育（类）进修及培训（款）培训支出（项）</w:t>
      </w:r>
      <w:r>
        <w:rPr>
          <w:rStyle w:val="14"/>
          <w:rFonts w:hint="eastAsia" w:eastAsia="方正仿宋简体" w:cs="Times New Roman"/>
          <w:bCs/>
          <w:color w:val="auto"/>
          <w:sz w:val="32"/>
          <w:szCs w:val="32"/>
          <w:highlight w:val="none"/>
          <w:lang w:val="en-US" w:eastAsia="zh-CN"/>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54.33</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16930BE8">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ascii="Times New Roman" w:hAnsi="Times New Roman" w:eastAsia="方正仿宋简体" w:cs="Times New Roman"/>
          <w:b/>
          <w:bCs/>
          <w:color w:val="auto"/>
          <w:kern w:val="2"/>
          <w:sz w:val="32"/>
          <w:szCs w:val="32"/>
          <w:highlight w:val="none"/>
          <w:lang w:val="en-US" w:eastAsia="zh-CN" w:bidi="ar-SA"/>
        </w:rPr>
        <w:t>4.教育（类）进修及培训（款）退役士兵能力提升（项）</w:t>
      </w:r>
      <w:r>
        <w:rPr>
          <w:rStyle w:val="14"/>
          <w:rFonts w:hint="eastAsia" w:eastAsia="方正仿宋简体" w:cs="Times New Roman"/>
          <w:b/>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35.4</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7EA1C31C">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5</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社会保障和就业（类）行政事业单位养老支出（款）行政单位离退休（项）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31.82</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54BAA8CF">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6</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.社会保障和就业（类）行政事业单位养老支出（款）机关事业单位基本养老保险缴费支出（项）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225.04</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73D900A1">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7</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.社会保障和就业（类）行政事业单位养老支出（款）机关事业单位职业年金缴费支出（项）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28.44</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7D2818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8</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.社会保障和就业（类）就业补助（款）其他就业补助支出（项）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304.08</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w:t>
      </w:r>
      <w:r>
        <w:rPr>
          <w:rStyle w:val="14"/>
          <w:rFonts w:hint="eastAsia" w:eastAsia="方正仿宋简体" w:cs="Times New Roman"/>
          <w:b w:val="0"/>
          <w:bCs/>
          <w:color w:val="auto"/>
          <w:kern w:val="2"/>
          <w:sz w:val="32"/>
          <w:szCs w:val="32"/>
          <w:highlight w:val="none"/>
          <w:lang w:val="en-US" w:eastAsia="zh-CN" w:bidi="ar-SA"/>
        </w:rPr>
        <w:t>94.86</w:t>
      </w:r>
      <w:r>
        <w:rPr>
          <w:rStyle w:val="14"/>
          <w:rFonts w:hint="eastAsia" w:ascii="Times New Roman" w:hAnsi="Times New Roman" w:eastAsia="方正仿宋简体" w:cs="Times New Roman"/>
          <w:b w:val="0"/>
          <w:bCs/>
          <w:color w:val="auto"/>
          <w:kern w:val="2"/>
          <w:sz w:val="32"/>
          <w:szCs w:val="32"/>
          <w:highlight w:val="none"/>
          <w:lang w:val="en-US" w:eastAsia="zh-CN" w:bidi="ar-SA"/>
        </w:rPr>
        <w:t>%，决算数小于预算数的主要原因是</w:t>
      </w:r>
      <w:r>
        <w:rPr>
          <w:rStyle w:val="14"/>
          <w:rFonts w:hint="eastAsia" w:eastAsia="方正仿宋简体" w:cs="Times New Roman"/>
          <w:b w:val="0"/>
          <w:bCs/>
          <w:color w:val="auto"/>
          <w:kern w:val="2"/>
          <w:sz w:val="32"/>
          <w:szCs w:val="32"/>
          <w:highlight w:val="none"/>
          <w:lang w:val="en-US" w:eastAsia="zh-CN" w:bidi="ar-SA"/>
        </w:rPr>
        <w:t>退役军人招聘活动政府采购项目按合同约定付款，剩余资金</w:t>
      </w:r>
      <w:r>
        <w:rPr>
          <w:rStyle w:val="14"/>
          <w:rFonts w:hint="eastAsia" w:ascii="Times New Roman" w:hAnsi="Times New Roman" w:eastAsia="方正仿宋简体" w:cs="Times New Roman"/>
          <w:b w:val="0"/>
          <w:bCs/>
          <w:color w:val="auto"/>
          <w:kern w:val="2"/>
          <w:sz w:val="32"/>
          <w:szCs w:val="32"/>
          <w:highlight w:val="none"/>
          <w:lang w:val="en-US" w:eastAsia="zh-CN" w:bidi="ar-SA"/>
        </w:rPr>
        <w:t>结转下年支付。</w:t>
      </w:r>
    </w:p>
    <w:p w14:paraId="53819E60">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9</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.社会保障和就业（类）退役军人管理事务（款）行政运行（项）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支出决算为2,</w:t>
      </w:r>
      <w:r>
        <w:rPr>
          <w:rStyle w:val="14"/>
          <w:rFonts w:hint="eastAsia" w:eastAsia="方正仿宋简体" w:cs="Times New Roman"/>
          <w:b w:val="0"/>
          <w:bCs/>
          <w:color w:val="auto"/>
          <w:kern w:val="2"/>
          <w:sz w:val="32"/>
          <w:szCs w:val="32"/>
          <w:highlight w:val="none"/>
          <w:lang w:val="en-US" w:eastAsia="zh-CN" w:bidi="ar-SA"/>
        </w:rPr>
        <w:t>292.55</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w:t>
      </w:r>
      <w:r>
        <w:rPr>
          <w:rStyle w:val="14"/>
          <w:rFonts w:hint="eastAsia" w:eastAsia="方正仿宋简体" w:cs="Times New Roman"/>
          <w:b w:val="0"/>
          <w:bCs/>
          <w:color w:val="auto"/>
          <w:kern w:val="2"/>
          <w:sz w:val="32"/>
          <w:szCs w:val="32"/>
          <w:highlight w:val="none"/>
          <w:lang w:val="en-US" w:eastAsia="zh-CN" w:bidi="ar-SA"/>
        </w:rPr>
        <w:t>100</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46E07428">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仿宋" w:cs="Times New Roman"/>
          <w:b w:val="0"/>
          <w:bCs/>
          <w:color w:val="auto"/>
          <w:sz w:val="32"/>
          <w:szCs w:val="32"/>
          <w:highlight w:val="none"/>
          <w:lang w:eastAsia="zh-CN"/>
        </w:rPr>
      </w:pPr>
      <w:r>
        <w:rPr>
          <w:rStyle w:val="14"/>
          <w:rFonts w:hint="eastAsia" w:ascii="Times New Roman" w:hAnsi="Times New Roman" w:eastAsia="方正仿宋简体" w:cs="Times New Roman"/>
          <w:bCs/>
          <w:color w:val="auto"/>
          <w:kern w:val="2"/>
          <w:sz w:val="32"/>
          <w:szCs w:val="32"/>
          <w:highlight w:val="none"/>
          <w:lang w:val="en-US" w:eastAsia="zh-CN" w:bidi="ar-SA"/>
        </w:rPr>
        <w:t>1</w:t>
      </w:r>
      <w:r>
        <w:rPr>
          <w:rStyle w:val="14"/>
          <w:rFonts w:hint="eastAsia" w:eastAsia="方正仿宋简体" w:cs="Times New Roman"/>
          <w:bCs/>
          <w:color w:val="auto"/>
          <w:kern w:val="2"/>
          <w:sz w:val="32"/>
          <w:szCs w:val="32"/>
          <w:highlight w:val="none"/>
          <w:lang w:val="en-US" w:eastAsia="zh-CN" w:bidi="ar-SA"/>
        </w:rPr>
        <w:t>0</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.社会保障和就业（类）退役军人管理事务（款）一般行政管理事务（项）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4"/>
          <w:rFonts w:hint="eastAsia" w:eastAsia="方正仿宋简体" w:cs="Times New Roman"/>
          <w:b w:val="0"/>
          <w:bCs/>
          <w:color w:val="auto"/>
          <w:kern w:val="2"/>
          <w:sz w:val="32"/>
          <w:szCs w:val="32"/>
          <w:highlight w:val="none"/>
          <w:lang w:val="en-US" w:eastAsia="zh-CN" w:bidi="ar-SA"/>
        </w:rPr>
        <w:t>为858.52</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w:t>
      </w:r>
      <w:r>
        <w:rPr>
          <w:rStyle w:val="14"/>
          <w:rFonts w:hint="eastAsia" w:eastAsia="方正仿宋简体" w:cs="Times New Roman"/>
          <w:b w:val="0"/>
          <w:bCs/>
          <w:color w:val="auto"/>
          <w:kern w:val="2"/>
          <w:sz w:val="32"/>
          <w:szCs w:val="32"/>
          <w:highlight w:val="none"/>
          <w:lang w:val="en-US" w:eastAsia="zh-CN" w:bidi="ar-SA"/>
        </w:rPr>
        <w:t>100</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7DC39EB1">
      <w:pPr>
        <w:spacing w:line="600" w:lineRule="exact"/>
        <w:ind w:firstLine="643" w:firstLineChars="200"/>
        <w:rPr>
          <w:rStyle w:val="14"/>
          <w:rFonts w:hint="default"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11.</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社会保障和就业（类）退役军人管理事务（款）拥军优属（项）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4"/>
          <w:rFonts w:hint="eastAsia" w:eastAsia="方正仿宋简体" w:cs="Times New Roman"/>
          <w:b w:val="0"/>
          <w:bCs/>
          <w:color w:val="auto"/>
          <w:kern w:val="2"/>
          <w:sz w:val="32"/>
          <w:szCs w:val="32"/>
          <w:highlight w:val="none"/>
          <w:lang w:val="en-US" w:eastAsia="zh-CN" w:bidi="ar-SA"/>
        </w:rPr>
        <w:t>为802.88</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w:t>
      </w:r>
      <w:r>
        <w:rPr>
          <w:rStyle w:val="14"/>
          <w:rFonts w:hint="eastAsia" w:eastAsia="方正仿宋简体" w:cs="Times New Roman"/>
          <w:b w:val="0"/>
          <w:bCs/>
          <w:color w:val="auto"/>
          <w:kern w:val="2"/>
          <w:sz w:val="32"/>
          <w:szCs w:val="32"/>
          <w:highlight w:val="none"/>
          <w:lang w:val="en-US" w:eastAsia="zh-CN" w:bidi="ar-SA"/>
        </w:rPr>
        <w:t>88.7</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，决算数小于预算数的主要原因是双拥创建政府采购项目按合同约定付款，剩余资金结转下年支付。</w:t>
      </w:r>
    </w:p>
    <w:p w14:paraId="03218743">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12</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.社会保障和就业（类）退役军人管理事务（款）其他退役军人事务管理支出（项）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4"/>
          <w:rFonts w:hint="eastAsia" w:eastAsia="方正仿宋简体" w:cs="Times New Roman"/>
          <w:b w:val="0"/>
          <w:bCs/>
          <w:color w:val="auto"/>
          <w:kern w:val="2"/>
          <w:sz w:val="32"/>
          <w:szCs w:val="32"/>
          <w:highlight w:val="none"/>
          <w:lang w:val="en-US" w:eastAsia="zh-CN" w:bidi="ar-SA"/>
        </w:rPr>
        <w:t>为1</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700</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78</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w:t>
      </w:r>
      <w:r>
        <w:rPr>
          <w:rStyle w:val="14"/>
          <w:rFonts w:hint="eastAsia" w:eastAsia="方正仿宋简体" w:cs="Times New Roman"/>
          <w:b w:val="0"/>
          <w:bCs/>
          <w:color w:val="auto"/>
          <w:kern w:val="2"/>
          <w:sz w:val="32"/>
          <w:szCs w:val="32"/>
          <w:highlight w:val="none"/>
          <w:lang w:val="en-US" w:eastAsia="zh-CN" w:bidi="ar-SA"/>
        </w:rPr>
        <w:t>97.57</w:t>
      </w:r>
      <w:r>
        <w:rPr>
          <w:rStyle w:val="14"/>
          <w:rFonts w:hint="eastAsia" w:ascii="Times New Roman" w:hAnsi="Times New Roman" w:eastAsia="方正仿宋简体" w:cs="Times New Roman"/>
          <w:b w:val="0"/>
          <w:bCs/>
          <w:color w:val="auto"/>
          <w:kern w:val="2"/>
          <w:sz w:val="32"/>
          <w:szCs w:val="32"/>
          <w:highlight w:val="none"/>
          <w:lang w:val="en-US" w:eastAsia="zh-CN" w:bidi="ar-SA"/>
        </w:rPr>
        <w:t>%，决算数小于预算数的主要原因是信息化一期工程项目按合同</w:t>
      </w:r>
      <w:r>
        <w:rPr>
          <w:rStyle w:val="14"/>
          <w:rFonts w:hint="eastAsia" w:eastAsia="方正仿宋简体" w:cs="Times New Roman"/>
          <w:b w:val="0"/>
          <w:bCs/>
          <w:color w:val="auto"/>
          <w:kern w:val="2"/>
          <w:sz w:val="32"/>
          <w:szCs w:val="32"/>
          <w:highlight w:val="none"/>
          <w:lang w:val="en-US" w:eastAsia="zh-CN" w:bidi="ar-SA"/>
        </w:rPr>
        <w:t>约定</w:t>
      </w:r>
      <w:r>
        <w:rPr>
          <w:rStyle w:val="14"/>
          <w:rFonts w:hint="eastAsia" w:ascii="Times New Roman" w:hAnsi="Times New Roman" w:eastAsia="方正仿宋简体" w:cs="Times New Roman"/>
          <w:b w:val="0"/>
          <w:bCs/>
          <w:color w:val="auto"/>
          <w:kern w:val="2"/>
          <w:sz w:val="32"/>
          <w:szCs w:val="32"/>
          <w:highlight w:val="none"/>
          <w:lang w:val="en-US" w:eastAsia="zh-CN" w:bidi="ar-SA"/>
        </w:rPr>
        <w:t>付款，</w:t>
      </w:r>
      <w:r>
        <w:rPr>
          <w:rStyle w:val="14"/>
          <w:rFonts w:hint="eastAsia" w:eastAsia="方正仿宋简体" w:cs="Times New Roman"/>
          <w:b w:val="0"/>
          <w:bCs/>
          <w:color w:val="auto"/>
          <w:kern w:val="2"/>
          <w:sz w:val="32"/>
          <w:szCs w:val="32"/>
          <w:highlight w:val="none"/>
          <w:lang w:val="en-US" w:eastAsia="zh-CN" w:bidi="ar-SA"/>
        </w:rPr>
        <w:t>剩余资金</w:t>
      </w:r>
      <w:r>
        <w:rPr>
          <w:rStyle w:val="14"/>
          <w:rFonts w:hint="eastAsia" w:ascii="Times New Roman" w:hAnsi="Times New Roman" w:eastAsia="方正仿宋简体" w:cs="Times New Roman"/>
          <w:b w:val="0"/>
          <w:bCs/>
          <w:color w:val="auto"/>
          <w:kern w:val="2"/>
          <w:sz w:val="32"/>
          <w:szCs w:val="32"/>
          <w:highlight w:val="none"/>
          <w:lang w:val="en-US" w:eastAsia="zh-CN" w:bidi="ar-SA"/>
        </w:rPr>
        <w:t>结转下年支付。</w:t>
      </w:r>
    </w:p>
    <w:p w14:paraId="3AA9E63D">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13</w:t>
      </w:r>
      <w:r>
        <w:rPr>
          <w:rStyle w:val="14"/>
          <w:rFonts w:hint="eastAsia" w:ascii="Times New Roman" w:hAnsi="Times New Roman" w:eastAsia="方正仿宋简体" w:cs="Times New Roman"/>
          <w:bCs/>
          <w:color w:val="auto"/>
          <w:kern w:val="2"/>
          <w:sz w:val="32"/>
          <w:szCs w:val="32"/>
          <w:highlight w:val="none"/>
          <w:lang w:val="en-US" w:eastAsia="zh-CN" w:bidi="ar-SA"/>
        </w:rPr>
        <w:t>.卫生健康（类）行政事业单位医疗（款）行政单位医疗（项）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支出决算为1</w:t>
      </w:r>
      <w:r>
        <w:rPr>
          <w:rStyle w:val="14"/>
          <w:rFonts w:hint="eastAsia" w:eastAsia="方正仿宋简体" w:cs="Times New Roman"/>
          <w:b w:val="0"/>
          <w:bCs/>
          <w:color w:val="auto"/>
          <w:kern w:val="2"/>
          <w:sz w:val="32"/>
          <w:szCs w:val="32"/>
          <w:highlight w:val="none"/>
          <w:lang w:val="en-US" w:eastAsia="zh-CN" w:bidi="ar-SA"/>
        </w:rPr>
        <w:t>53</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19</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2B374161">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14</w:t>
      </w:r>
      <w:r>
        <w:rPr>
          <w:rStyle w:val="14"/>
          <w:rFonts w:hint="eastAsia" w:ascii="Times New Roman" w:hAnsi="Times New Roman" w:eastAsia="方正仿宋简体" w:cs="Times New Roman"/>
          <w:bCs/>
          <w:color w:val="auto"/>
          <w:kern w:val="2"/>
          <w:sz w:val="32"/>
          <w:szCs w:val="32"/>
          <w:highlight w:val="none"/>
          <w:lang w:val="en-US" w:eastAsia="zh-CN" w:bidi="ar-SA"/>
        </w:rPr>
        <w:t>.卫生健康（类）行政事业单位医疗（款）公务员医疗补助（项）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支出决算为1</w:t>
      </w:r>
      <w:r>
        <w:rPr>
          <w:rStyle w:val="14"/>
          <w:rFonts w:hint="eastAsia" w:eastAsia="方正仿宋简体" w:cs="Times New Roman"/>
          <w:b w:val="0"/>
          <w:bCs/>
          <w:color w:val="auto"/>
          <w:kern w:val="2"/>
          <w:sz w:val="32"/>
          <w:szCs w:val="32"/>
          <w:highlight w:val="none"/>
          <w:lang w:val="en-US" w:eastAsia="zh-CN" w:bidi="ar-SA"/>
        </w:rPr>
        <w:t>8.03</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33A55D8B">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15</w:t>
      </w:r>
      <w:r>
        <w:rPr>
          <w:rStyle w:val="14"/>
          <w:rFonts w:hint="eastAsia" w:ascii="Times New Roman" w:hAnsi="Times New Roman" w:eastAsia="方正仿宋简体" w:cs="Times New Roman"/>
          <w:bCs/>
          <w:color w:val="auto"/>
          <w:kern w:val="2"/>
          <w:sz w:val="32"/>
          <w:szCs w:val="32"/>
          <w:highlight w:val="none"/>
          <w:lang w:val="en-US" w:eastAsia="zh-CN" w:bidi="ar-SA"/>
        </w:rPr>
        <w:t>.住房保障支出（类）住房改革支出（款）住房公积金（项）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189.23</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p>
    <w:p w14:paraId="618222F1">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4"/>
          <w:rFonts w:hint="eastAsia" w:eastAsia="方正仿宋简体" w:cs="Times New Roman"/>
          <w:bCs/>
          <w:color w:val="auto"/>
          <w:kern w:val="2"/>
          <w:sz w:val="32"/>
          <w:szCs w:val="32"/>
          <w:highlight w:val="none"/>
          <w:lang w:val="en-US" w:eastAsia="zh-CN" w:bidi="ar-SA"/>
        </w:rPr>
        <w:t>16</w:t>
      </w:r>
      <w:r>
        <w:rPr>
          <w:rStyle w:val="14"/>
          <w:rFonts w:hint="eastAsia" w:ascii="Times New Roman" w:hAnsi="Times New Roman" w:eastAsia="方正仿宋简体" w:cs="Times New Roman"/>
          <w:bCs/>
          <w:color w:val="auto"/>
          <w:kern w:val="2"/>
          <w:sz w:val="32"/>
          <w:szCs w:val="32"/>
          <w:highlight w:val="none"/>
          <w:lang w:val="en-US" w:eastAsia="zh-CN" w:bidi="ar-SA"/>
        </w:rPr>
        <w:t>.住房保障支出（类）住房改革支出（款）购房补贴（项）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195.16</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r>
        <w:rPr>
          <w:rStyle w:val="14"/>
          <w:rFonts w:hint="eastAsia" w:eastAsia="方正仿宋简体" w:cs="Times New Roman"/>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14:paraId="66885A4A">
      <w:pPr>
        <w:pageBreakBefore w:val="0"/>
        <w:tabs>
          <w:tab w:val="right" w:pos="8306"/>
        </w:tabs>
        <w:kinsoku/>
        <w:wordWrap/>
        <w:overflowPunct/>
        <w:topLinePunct w:val="0"/>
        <w:bidi w:val="0"/>
        <w:snapToGrid/>
        <w:spacing w:line="600" w:lineRule="exact"/>
        <w:ind w:firstLine="640"/>
        <w:textAlignment w:val="auto"/>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14:paraId="3D0CDC14">
      <w:pPr>
        <w:pageBreakBefore w:val="0"/>
        <w:kinsoku/>
        <w:wordWrap/>
        <w:overflowPunct/>
        <w:topLinePunct w:val="0"/>
        <w:bidi w:val="0"/>
        <w:snapToGrid/>
        <w:spacing w:line="600" w:lineRule="exact"/>
        <w:ind w:firstLine="645"/>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一般公共预算财政拨款基本支出</w:t>
      </w:r>
      <w:r>
        <w:rPr>
          <w:rFonts w:hint="eastAsia" w:eastAsia="方正仿宋简体" w:cs="Times New Roman"/>
          <w:color w:val="auto"/>
          <w:sz w:val="32"/>
          <w:szCs w:val="32"/>
          <w:highlight w:val="none"/>
          <w:lang w:val="en-US" w:eastAsia="zh-CN"/>
        </w:rPr>
        <w:t>3</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Fonts w:hint="eastAsia" w:eastAsia="方正仿宋简体" w:cs="Times New Roman"/>
          <w:color w:val="auto"/>
          <w:sz w:val="32"/>
          <w:szCs w:val="32"/>
          <w:highlight w:val="none"/>
          <w:lang w:val="en-US" w:eastAsia="zh-CN"/>
        </w:rPr>
        <w:t>187</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79</w:t>
      </w:r>
      <w:r>
        <w:rPr>
          <w:rFonts w:hint="eastAsia" w:ascii="Times New Roman" w:hAnsi="Times New Roman" w:eastAsia="方正仿宋简体" w:cs="Times New Roman"/>
          <w:color w:val="auto"/>
          <w:sz w:val="32"/>
          <w:szCs w:val="32"/>
          <w:highlight w:val="none"/>
        </w:rPr>
        <w:t>万元，其中：</w:t>
      </w:r>
    </w:p>
    <w:p w14:paraId="2764A11B">
      <w:pPr>
        <w:pageBreakBefore w:val="0"/>
        <w:kinsoku/>
        <w:wordWrap/>
        <w:overflowPunct/>
        <w:topLinePunct w:val="0"/>
        <w:bidi w:val="0"/>
        <w:snapToGrid/>
        <w:spacing w:line="600" w:lineRule="exact"/>
        <w:ind w:firstLine="645"/>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人员经费</w:t>
      </w:r>
      <w:r>
        <w:rPr>
          <w:rFonts w:hint="default" w:ascii="Times New Roman" w:hAnsi="Times New Roman" w:eastAsia="方正仿宋简体" w:cs="Times New Roman"/>
          <w:color w:val="auto"/>
          <w:sz w:val="32"/>
          <w:szCs w:val="32"/>
          <w:highlight w:val="none"/>
          <w:lang w:val="en-US" w:eastAsia="zh-CN"/>
        </w:rPr>
        <w:t>2</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Fonts w:hint="default" w:ascii="Times New Roman" w:hAnsi="Times New Roman" w:eastAsia="方正仿宋简体" w:cs="Times New Roman"/>
          <w:color w:val="auto"/>
          <w:sz w:val="32"/>
          <w:szCs w:val="32"/>
          <w:highlight w:val="none"/>
          <w:lang w:val="en-US" w:eastAsia="zh-CN"/>
        </w:rPr>
        <w:t>4</w:t>
      </w:r>
      <w:r>
        <w:rPr>
          <w:rFonts w:hint="eastAsia" w:eastAsia="方正仿宋简体" w:cs="Times New Roman"/>
          <w:color w:val="auto"/>
          <w:sz w:val="32"/>
          <w:szCs w:val="32"/>
          <w:highlight w:val="none"/>
          <w:lang w:val="en-US" w:eastAsia="zh-CN"/>
        </w:rPr>
        <w:t>10</w:t>
      </w:r>
      <w:r>
        <w:rPr>
          <w:rFonts w:hint="default"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万元，主要包括：基本工资、津贴补贴、奖金</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机关事业单位基本养老保险缴费、职业年金缴费、职工基本医疗保险缴费</w:t>
      </w:r>
      <w:r>
        <w:rPr>
          <w:rFonts w:hint="eastAsia" w:ascii="Times New Roman" w:hAnsi="Times New Roman" w:eastAsia="方正仿宋简体" w:cs="Times New Roman"/>
          <w:color w:val="auto"/>
          <w:sz w:val="32"/>
          <w:szCs w:val="32"/>
          <w:highlight w:val="none"/>
          <w:lang w:eastAsia="zh-CN"/>
        </w:rPr>
        <w:t>、公务员医疗补助缴费、</w:t>
      </w:r>
      <w:r>
        <w:rPr>
          <w:rFonts w:hint="default" w:ascii="Times New Roman" w:hAnsi="Times New Roman" w:eastAsia="方正仿宋简体" w:cs="Times New Roman"/>
          <w:color w:val="auto"/>
          <w:sz w:val="32"/>
          <w:szCs w:val="32"/>
          <w:highlight w:val="none"/>
        </w:rPr>
        <w:t>其他社会保障缴费、住房公积金、其他工资福利支出、奖励金、</w:t>
      </w:r>
      <w:r>
        <w:rPr>
          <w:rFonts w:hint="eastAsia" w:eastAsia="方正仿宋简体" w:cs="Times New Roman"/>
          <w:color w:val="auto"/>
          <w:sz w:val="32"/>
          <w:szCs w:val="32"/>
          <w:highlight w:val="none"/>
          <w:lang w:eastAsia="zh-CN"/>
        </w:rPr>
        <w:t>退休费、</w:t>
      </w:r>
      <w:r>
        <w:rPr>
          <w:rFonts w:hint="default" w:ascii="Times New Roman" w:hAnsi="Times New Roman" w:eastAsia="方正仿宋简体" w:cs="Times New Roman"/>
          <w:color w:val="auto"/>
          <w:sz w:val="32"/>
          <w:szCs w:val="32"/>
          <w:highlight w:val="none"/>
        </w:rPr>
        <w:t>其他对个人和家庭的补助支出等。</w:t>
      </w:r>
    </w:p>
    <w:p w14:paraId="11296CE7">
      <w:pPr>
        <w:pageBreakBefore w:val="0"/>
        <w:kinsoku/>
        <w:wordWrap/>
        <w:overflowPunct/>
        <w:topLinePunct w:val="0"/>
        <w:bidi w:val="0"/>
        <w:snapToGrid/>
        <w:spacing w:line="600" w:lineRule="exact"/>
        <w:ind w:firstLine="645"/>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公用经费</w:t>
      </w:r>
      <w:r>
        <w:rPr>
          <w:rFonts w:hint="eastAsia" w:eastAsia="方正仿宋简体" w:cs="Times New Roman"/>
          <w:color w:val="auto"/>
          <w:sz w:val="32"/>
          <w:szCs w:val="32"/>
          <w:highlight w:val="none"/>
          <w:lang w:val="en-US" w:eastAsia="zh-CN"/>
        </w:rPr>
        <w:t>777.49</w:t>
      </w:r>
      <w:r>
        <w:rPr>
          <w:rFonts w:hint="default" w:ascii="Times New Roman" w:hAnsi="Times New Roman" w:eastAsia="方正仿宋简体" w:cs="Times New Roman"/>
          <w:color w:val="auto"/>
          <w:sz w:val="32"/>
          <w:szCs w:val="32"/>
          <w:highlight w:val="none"/>
        </w:rPr>
        <w:t>万元，主要包括：办公费、手续费、水费、邮电费、物业管理费、差旅费、会议费、培训费、公务接待费、工会经费、福利费、公务用车运行维护费、</w:t>
      </w:r>
      <w:r>
        <w:rPr>
          <w:rFonts w:hint="eastAsia" w:ascii="Times New Roman" w:hAnsi="Times New Roman" w:eastAsia="方正仿宋简体" w:cs="Times New Roman"/>
          <w:color w:val="auto"/>
          <w:sz w:val="32"/>
          <w:szCs w:val="32"/>
          <w:highlight w:val="none"/>
          <w:lang w:eastAsia="zh-CN"/>
        </w:rPr>
        <w:t>其他交通费用、</w:t>
      </w:r>
      <w:r>
        <w:rPr>
          <w:rFonts w:hint="default" w:ascii="Times New Roman" w:hAnsi="Times New Roman" w:eastAsia="方正仿宋简体" w:cs="Times New Roman"/>
          <w:color w:val="auto"/>
          <w:sz w:val="32"/>
          <w:szCs w:val="32"/>
          <w:highlight w:val="none"/>
        </w:rPr>
        <w:t>其他商品和服务支出等。</w:t>
      </w:r>
    </w:p>
    <w:p w14:paraId="3380B935">
      <w:pPr>
        <w:pageBreakBefore w:val="0"/>
        <w:kinsoku/>
        <w:wordWrap/>
        <w:overflowPunct/>
        <w:topLinePunct w:val="0"/>
        <w:bidi w:val="0"/>
        <w:snapToGrid/>
        <w:spacing w:line="600" w:lineRule="exact"/>
        <w:ind w:firstLine="640"/>
        <w:textAlignment w:val="auto"/>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14:paraId="6550C002">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38" w:name="_Toc15377216"/>
      <w:r>
        <w:rPr>
          <w:rFonts w:hint="eastAsia" w:ascii="Times New Roman" w:hAnsi="Times New Roman" w:eastAsia="方正楷体简体" w:cs="Times New Roman"/>
          <w:b/>
          <w:color w:val="auto"/>
          <w:sz w:val="32"/>
          <w:szCs w:val="32"/>
          <w:highlight w:val="none"/>
        </w:rPr>
        <w:t>（一）“三公”经费财政拨款支出决算总体情况说明</w:t>
      </w:r>
      <w:bookmarkEnd w:id="38"/>
    </w:p>
    <w:p w14:paraId="6EDEC375">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“三公”经费财政拨款支出决算为</w:t>
      </w:r>
      <w:r>
        <w:rPr>
          <w:rFonts w:hint="eastAsia"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9.08</w:t>
      </w:r>
      <w:r>
        <w:rPr>
          <w:rFonts w:hint="eastAsia"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eastAsia="zh-CN"/>
        </w:rPr>
        <w:t>决算数与预算数持平</w:t>
      </w:r>
      <w:r>
        <w:rPr>
          <w:rStyle w:val="14"/>
          <w:rFonts w:hint="eastAsia" w:eastAsia="方正仿宋简体"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sz w:val="32"/>
          <w:szCs w:val="32"/>
          <w:highlight w:val="none"/>
          <w:lang w:eastAsia="zh-CN"/>
        </w:rPr>
        <w:t>较上年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lang w:eastAsia="zh-CN"/>
        </w:rPr>
        <w:t>增加</w:t>
      </w:r>
      <w:r>
        <w:rPr>
          <w:rFonts w:hint="eastAsia" w:eastAsia="方正仿宋简体" w:cs="Times New Roman"/>
          <w:color w:val="auto"/>
          <w:sz w:val="32"/>
          <w:szCs w:val="32"/>
          <w:highlight w:val="none"/>
          <w:lang w:val="en-US" w:eastAsia="zh-CN"/>
        </w:rPr>
        <w:t>4.75</w:t>
      </w:r>
      <w:r>
        <w:rPr>
          <w:rFonts w:hint="eastAsia" w:ascii="Times New Roman" w:hAnsi="Times New Roman" w:eastAsia="方正仿宋简体" w:cs="Times New Roman"/>
          <w:color w:val="auto"/>
          <w:sz w:val="32"/>
          <w:szCs w:val="32"/>
          <w:highlight w:val="none"/>
          <w:lang w:val="en-US" w:eastAsia="zh-CN"/>
        </w:rPr>
        <w:t>万元，增长</w:t>
      </w:r>
      <w:r>
        <w:rPr>
          <w:rFonts w:hint="eastAsia" w:eastAsia="方正仿宋简体" w:cs="Times New Roman"/>
          <w:color w:val="auto"/>
          <w:sz w:val="32"/>
          <w:szCs w:val="32"/>
          <w:highlight w:val="none"/>
          <w:lang w:val="en-US" w:eastAsia="zh-CN"/>
        </w:rPr>
        <w:t>19.52</w:t>
      </w:r>
      <w:r>
        <w:rPr>
          <w:rFonts w:hint="eastAsia" w:ascii="Times New Roman" w:hAnsi="Times New Roman" w:eastAsia="方正仿宋简体" w:cs="Times New Roman"/>
          <w:color w:val="auto"/>
          <w:sz w:val="32"/>
          <w:szCs w:val="32"/>
          <w:highlight w:val="none"/>
          <w:lang w:val="en-US" w:eastAsia="zh-CN"/>
        </w:rPr>
        <w:t>%。</w:t>
      </w:r>
    </w:p>
    <w:p w14:paraId="00C63972">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39" w:name="_Toc15377217"/>
      <w:r>
        <w:rPr>
          <w:rFonts w:hint="eastAsia" w:ascii="Times New Roman" w:hAnsi="Times New Roman" w:eastAsia="方正楷体简体" w:cs="Times New Roman"/>
          <w:b/>
          <w:color w:val="auto"/>
          <w:sz w:val="32"/>
          <w:szCs w:val="32"/>
          <w:highlight w:val="none"/>
        </w:rPr>
        <w:t>（二）“三公”经费财政拨款支出决算具体情况说明</w:t>
      </w:r>
      <w:bookmarkEnd w:id="39"/>
    </w:p>
    <w:p w14:paraId="19C78A62">
      <w:pPr>
        <w:pageBreakBefore w:val="0"/>
        <w:kinsoku/>
        <w:wordWrap/>
        <w:overflowPunct/>
        <w:topLinePunct w:val="0"/>
        <w:bidi w:val="0"/>
        <w:snapToGrid/>
        <w:spacing w:line="600" w:lineRule="exact"/>
        <w:ind w:firstLine="640"/>
        <w:textAlignment w:val="auto"/>
        <w:rPr>
          <w:rFonts w:ascii="仿宋" w:hAnsi="仿宋" w:eastAsia="仿宋"/>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rPr>
        <w:t>“三公”经费财政拨款支出决算中，因公出国（境）费支出决算</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万元，占</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%；公务用车购置及运行维护费支出决算</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6.87</w:t>
      </w:r>
      <w:r>
        <w:rPr>
          <w:rFonts w:hint="default" w:ascii="Times New Roman" w:hAnsi="Times New Roman" w:eastAsia="方正仿宋简体" w:cs="Times New Roman"/>
          <w:color w:val="auto"/>
          <w:sz w:val="32"/>
          <w:szCs w:val="32"/>
          <w:highlight w:val="none"/>
        </w:rPr>
        <w:t>万元，占</w:t>
      </w:r>
      <w:r>
        <w:rPr>
          <w:rFonts w:hint="default" w:ascii="Times New Roman" w:hAnsi="Times New Roman" w:eastAsia="方正仿宋简体" w:cs="Times New Roman"/>
          <w:color w:val="auto"/>
          <w:sz w:val="32"/>
          <w:szCs w:val="32"/>
          <w:highlight w:val="none"/>
          <w:lang w:val="en-US" w:eastAsia="zh-CN"/>
        </w:rPr>
        <w:t>98.</w:t>
      </w:r>
      <w:r>
        <w:rPr>
          <w:rFonts w:hint="eastAsia" w:eastAsia="方正仿宋简体" w:cs="Times New Roman"/>
          <w:color w:val="auto"/>
          <w:sz w:val="32"/>
          <w:szCs w:val="32"/>
          <w:highlight w:val="none"/>
          <w:lang w:val="en-US" w:eastAsia="zh-CN"/>
        </w:rPr>
        <w:t>27</w:t>
      </w:r>
      <w:r>
        <w:rPr>
          <w:rFonts w:hint="default" w:ascii="Times New Roman" w:hAnsi="Times New Roman" w:eastAsia="方正仿宋简体" w:cs="Times New Roman"/>
          <w:color w:val="auto"/>
          <w:sz w:val="32"/>
          <w:szCs w:val="32"/>
          <w:highlight w:val="none"/>
        </w:rPr>
        <w:t>%；公务接待费支出决算</w:t>
      </w:r>
      <w:r>
        <w:rPr>
          <w:rFonts w:hint="eastAsia" w:eastAsia="方正仿宋简体" w:cs="Times New Roman"/>
          <w:color w:val="auto"/>
          <w:sz w:val="32"/>
          <w:szCs w:val="32"/>
          <w:highlight w:val="none"/>
          <w:lang w:val="en-US" w:eastAsia="zh-CN"/>
        </w:rPr>
        <w:t>2.21</w:t>
      </w:r>
      <w:r>
        <w:rPr>
          <w:rFonts w:hint="default" w:ascii="Times New Roman" w:hAnsi="Times New Roman" w:eastAsia="方正仿宋简体" w:cs="Times New Roman"/>
          <w:color w:val="auto"/>
          <w:sz w:val="32"/>
          <w:szCs w:val="32"/>
          <w:highlight w:val="none"/>
        </w:rPr>
        <w:t>万元，占</w:t>
      </w:r>
      <w:r>
        <w:rPr>
          <w:rFonts w:hint="default" w:ascii="Times New Roman" w:hAnsi="Times New Roman" w:eastAsia="方正仿宋简体" w:cs="Times New Roman"/>
          <w:color w:val="auto"/>
          <w:sz w:val="32"/>
          <w:szCs w:val="32"/>
          <w:highlight w:val="none"/>
          <w:lang w:val="en-US" w:eastAsia="zh-CN"/>
        </w:rPr>
        <w:t>1.7</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%。具体情况如下：</w:t>
      </w:r>
    </w:p>
    <w:p w14:paraId="0F889797">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r>
        <w:rPr>
          <w:rFonts w:hint="eastAsia" w:ascii="仿宋" w:hAnsi="仿宋" w:eastAsia="仿宋"/>
          <w:color w:val="000000"/>
          <w:sz w:val="32"/>
          <w:szCs w:val="32"/>
        </w:rPr>
        <w:drawing>
          <wp:anchor distT="0" distB="0" distL="114300" distR="114300" simplePos="0" relativeHeight="251666432" behindDoc="1" locked="0" layoutInCell="1" allowOverlap="1">
            <wp:simplePos x="0" y="0"/>
            <wp:positionH relativeFrom="column">
              <wp:posOffset>-28575</wp:posOffset>
            </wp:positionH>
            <wp:positionV relativeFrom="paragraph">
              <wp:posOffset>161925</wp:posOffset>
            </wp:positionV>
            <wp:extent cx="5137150" cy="2972435"/>
            <wp:effectExtent l="4445" t="4445" r="20955" b="1397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17618614">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741E0C1D">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5E78B127">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4943873A">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14:textFill>
            <w14:gradFill>
              <w14:gsLst>
                <w14:gs w14:pos="0">
                  <w14:srgbClr w14:val="FBFB11"/>
                </w14:gs>
                <w14:gs w14:pos="100000">
                  <w14:srgbClr w14:val="838309"/>
                </w14:gs>
              </w14:gsLst>
              <w14:lin w14:ang="2700000" w14:scaled="0"/>
            </w14:gradFill>
          </w14:textFill>
        </w:rPr>
      </w:pPr>
    </w:p>
    <w:p w14:paraId="6C8A4687">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4D6C3455">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0CF32680">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3847D7A9">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14:paraId="5F9EF863">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图7：“三公”经费财政拨款支出结构</w:t>
      </w:r>
    </w:p>
    <w:p w14:paraId="298C56D8">
      <w:pPr>
        <w:spacing w:line="600" w:lineRule="exact"/>
        <w:ind w:firstLine="643"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1.因公出国（境）经费支出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r>
        <w:rPr>
          <w:rStyle w:val="14"/>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rPr>
        <w:t>全年安排因公出国（境）团组</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次，出国（境）</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w:t>
      </w:r>
      <w:r>
        <w:rPr>
          <w:rFonts w:hint="eastAsia" w:ascii="Times New Roman" w:hAnsi="Times New Roman" w:eastAsia="方正仿宋简体" w:cs="Times New Roman"/>
          <w:color w:val="auto"/>
          <w:sz w:val="32"/>
          <w:szCs w:val="32"/>
          <w:highlight w:val="none"/>
        </w:rPr>
        <w:t>因公出国（境）支出决算同202</w:t>
      </w:r>
      <w:r>
        <w:rPr>
          <w:rFonts w:hint="eastAsia"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rPr>
        <w:t>一致，均为0万元。</w:t>
      </w:r>
    </w:p>
    <w:p w14:paraId="4796427B">
      <w:pPr>
        <w:pageBreakBefore w:val="0"/>
        <w:kinsoku/>
        <w:wordWrap/>
        <w:overflowPunct/>
        <w:topLinePunct w:val="0"/>
        <w:bidi w:val="0"/>
        <w:snapToGrid/>
        <w:spacing w:line="600" w:lineRule="exact"/>
        <w:ind w:firstLine="640"/>
        <w:textAlignment w:val="auto"/>
        <w:rPr>
          <w:rFonts w:hint="eastAsia"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rPr>
        <w:t>2.公务用车购置及运行维护费支出</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6.87</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eastAsia="zh-CN"/>
        </w:rPr>
        <w:t>，</w:t>
      </w:r>
      <w:r>
        <w:rPr>
          <w:rStyle w:val="14"/>
          <w:rFonts w:hint="default" w:ascii="Times New Roman" w:hAnsi="Times New Roman" w:eastAsia="方正仿宋简体" w:cs="Times New Roman"/>
          <w:b w:val="0"/>
          <w:bCs/>
          <w:color w:val="auto"/>
          <w:sz w:val="32"/>
          <w:szCs w:val="32"/>
          <w:highlight w:val="none"/>
        </w:rPr>
        <w:t>完成预算</w:t>
      </w:r>
      <w:r>
        <w:rPr>
          <w:rStyle w:val="14"/>
          <w:rFonts w:hint="eastAsia" w:ascii="Times New Roman" w:hAnsi="Times New Roman" w:eastAsia="方正仿宋简体" w:cs="Times New Roman"/>
          <w:b w:val="0"/>
          <w:bCs/>
          <w:color w:val="auto"/>
          <w:sz w:val="32"/>
          <w:szCs w:val="32"/>
          <w:highlight w:val="none"/>
          <w:lang w:val="en-US" w:eastAsia="zh-CN"/>
        </w:rPr>
        <w:t>100</w:t>
      </w:r>
      <w:r>
        <w:rPr>
          <w:rStyle w:val="14"/>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rPr>
        <w:t>公务用车购置及运行维护费支出决算比20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rPr>
        <w:t>增加</w:t>
      </w:r>
      <w:r>
        <w:rPr>
          <w:rFonts w:hint="eastAsia" w:eastAsia="方正仿宋简体" w:cs="Times New Roman"/>
          <w:color w:val="auto"/>
          <w:sz w:val="32"/>
          <w:szCs w:val="32"/>
          <w:highlight w:val="none"/>
          <w:lang w:val="en-US" w:eastAsia="zh-CN"/>
        </w:rPr>
        <w:t>2.96</w:t>
      </w:r>
      <w:r>
        <w:rPr>
          <w:rFonts w:hint="default" w:ascii="Times New Roman" w:hAnsi="Times New Roman" w:eastAsia="方正仿宋简体" w:cs="Times New Roman"/>
          <w:color w:val="auto"/>
          <w:sz w:val="32"/>
          <w:szCs w:val="32"/>
          <w:highlight w:val="none"/>
        </w:rPr>
        <w:t>万元，增长</w:t>
      </w:r>
      <w:r>
        <w:rPr>
          <w:rFonts w:hint="eastAsia" w:eastAsia="方正仿宋简体" w:cs="Times New Roman"/>
          <w:color w:val="auto"/>
          <w:sz w:val="32"/>
          <w:szCs w:val="32"/>
          <w:highlight w:val="none"/>
          <w:lang w:val="en-US" w:eastAsia="zh-CN"/>
        </w:rPr>
        <w:t>12.38</w:t>
      </w:r>
      <w:r>
        <w:rPr>
          <w:rFonts w:hint="default" w:ascii="Times New Roman" w:hAnsi="Times New Roman" w:eastAsia="方正仿宋简体" w:cs="Times New Roman"/>
          <w:color w:val="auto"/>
          <w:sz w:val="32"/>
          <w:szCs w:val="32"/>
          <w:highlight w:val="none"/>
        </w:rPr>
        <w:t>%。主要原因</w:t>
      </w:r>
      <w:r>
        <w:rPr>
          <w:rFonts w:hint="eastAsia" w:eastAsia="方正仿宋简体" w:cs="Times New Roman"/>
          <w:color w:val="auto"/>
          <w:sz w:val="32"/>
          <w:szCs w:val="32"/>
          <w:highlight w:val="none"/>
          <w:lang w:eastAsia="zh-CN"/>
        </w:rPr>
        <w:t>是</w:t>
      </w:r>
      <w:r>
        <w:rPr>
          <w:rFonts w:hint="eastAsia" w:ascii="Times New Roman" w:hAnsi="Times New Roman" w:eastAsia="方正仿宋简体" w:cs="Times New Roman"/>
          <w:color w:val="auto"/>
          <w:sz w:val="32"/>
          <w:szCs w:val="32"/>
          <w:highlight w:val="none"/>
        </w:rPr>
        <w:t>本年到市（州）调研、督查、指导</w:t>
      </w:r>
      <w:r>
        <w:rPr>
          <w:rFonts w:hint="eastAsia" w:ascii="Times New Roman" w:hAnsi="Times New Roman" w:eastAsia="方正仿宋简体" w:cs="Times New Roman"/>
          <w:color w:val="auto"/>
          <w:sz w:val="32"/>
          <w:szCs w:val="32"/>
          <w:highlight w:val="none"/>
          <w:lang w:eastAsia="zh-CN"/>
        </w:rPr>
        <w:t>项目建设</w:t>
      </w:r>
      <w:r>
        <w:rPr>
          <w:rFonts w:hint="eastAsia" w:ascii="Times New Roman" w:hAnsi="Times New Roman" w:eastAsia="方正仿宋简体" w:cs="Times New Roman"/>
          <w:color w:val="auto"/>
          <w:sz w:val="32"/>
          <w:szCs w:val="32"/>
          <w:highlight w:val="none"/>
        </w:rPr>
        <w:t>工作较上年增加，公务出行增加，公务</w:t>
      </w:r>
      <w:r>
        <w:rPr>
          <w:rFonts w:hint="eastAsia" w:ascii="Times New Roman" w:hAnsi="Times New Roman" w:eastAsia="方正仿宋简体" w:cs="Times New Roman"/>
          <w:color w:val="auto"/>
          <w:sz w:val="32"/>
          <w:szCs w:val="32"/>
          <w:highlight w:val="none"/>
          <w:lang w:eastAsia="zh-CN"/>
        </w:rPr>
        <w:t>用车</w:t>
      </w:r>
      <w:r>
        <w:rPr>
          <w:rFonts w:hint="eastAsia" w:ascii="Times New Roman" w:hAnsi="Times New Roman" w:eastAsia="方正仿宋简体" w:cs="Times New Roman"/>
          <w:color w:val="auto"/>
          <w:sz w:val="32"/>
          <w:szCs w:val="32"/>
          <w:highlight w:val="none"/>
        </w:rPr>
        <w:t>加油、维修等费用较上年增加</w:t>
      </w:r>
      <w:r>
        <w:rPr>
          <w:rFonts w:hint="eastAsia" w:ascii="Times New Roman" w:hAnsi="Times New Roman" w:eastAsia="方正仿宋简体" w:cs="Times New Roman"/>
          <w:color w:val="auto"/>
          <w:sz w:val="32"/>
          <w:szCs w:val="32"/>
          <w:highlight w:val="none"/>
          <w:lang w:eastAsia="zh-CN"/>
        </w:rPr>
        <w:t>。</w:t>
      </w:r>
    </w:p>
    <w:p w14:paraId="72EF7DF1">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color w:val="auto"/>
          <w:sz w:val="32"/>
          <w:szCs w:val="32"/>
          <w:highlight w:val="none"/>
        </w:rPr>
        <w:t>其中：</w:t>
      </w:r>
      <w:r>
        <w:rPr>
          <w:rFonts w:hint="default" w:ascii="Times New Roman" w:hAnsi="Times New Roman" w:eastAsia="方正仿宋简体" w:cs="Times New Roman"/>
          <w:b/>
          <w:color w:val="auto"/>
          <w:sz w:val="32"/>
          <w:szCs w:val="32"/>
          <w:highlight w:val="none"/>
        </w:rPr>
        <w:t>公务用车购置支出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万元。全年</w:t>
      </w:r>
      <w:r>
        <w:rPr>
          <w:rFonts w:hint="eastAsia" w:eastAsia="方正仿宋简体" w:cs="Times New Roman"/>
          <w:color w:val="auto"/>
          <w:sz w:val="32"/>
          <w:szCs w:val="32"/>
          <w:highlight w:val="none"/>
          <w:lang w:eastAsia="zh-CN"/>
        </w:rPr>
        <w:t>按规定</w:t>
      </w:r>
      <w:r>
        <w:rPr>
          <w:rFonts w:hint="default" w:ascii="Times New Roman" w:hAnsi="Times New Roman" w:eastAsia="方正仿宋简体" w:cs="Times New Roman"/>
          <w:color w:val="auto"/>
          <w:sz w:val="32"/>
          <w:szCs w:val="32"/>
          <w:highlight w:val="none"/>
        </w:rPr>
        <w:t>更新购置公务用车</w:t>
      </w:r>
      <w:r>
        <w:rPr>
          <w:rFonts w:hint="eastAsia" w:ascii="Times New Roman" w:hAnsi="Times New Roman" w:eastAsia="方正仿宋简体" w:cs="Times New Roman"/>
          <w:color w:val="auto"/>
          <w:sz w:val="32"/>
          <w:szCs w:val="32"/>
          <w:highlight w:val="none"/>
          <w:lang w:val="en-US" w:eastAsia="zh-CN"/>
        </w:rPr>
        <w:t>0辆</w:t>
      </w:r>
      <w:r>
        <w:rPr>
          <w:rFonts w:hint="eastAsia" w:ascii="Times New Roman" w:hAnsi="Times New Roman" w:eastAsia="方正仿宋简体" w:cs="Times New Roman"/>
          <w:color w:val="auto"/>
          <w:sz w:val="32"/>
          <w:szCs w:val="32"/>
          <w:highlight w:val="none"/>
        </w:rPr>
        <w:t>，其中：轿车</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rPr>
        <w:t>辆、金额</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rPr>
        <w:t>万元，越野车</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rPr>
        <w:t>辆、金额</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rPr>
        <w:t>万元，载客汽车</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rPr>
        <w:t>辆、金额</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截至</w:t>
      </w:r>
      <w:r>
        <w:rPr>
          <w:rFonts w:hint="default" w:ascii="Times New Roman" w:hAnsi="Times New Roman" w:eastAsia="方正仿宋简体" w:cs="Times New Roman"/>
          <w:color w:val="auto"/>
          <w:sz w:val="32"/>
          <w:szCs w:val="32"/>
          <w:highlight w:val="none"/>
          <w:lang w:eastAsia="zh-CN"/>
        </w:rPr>
        <w:t>2023</w:t>
      </w:r>
      <w:r>
        <w:rPr>
          <w:rFonts w:hint="default" w:ascii="Times New Roman" w:hAnsi="Times New Roman" w:eastAsia="方正仿宋简体" w:cs="Times New Roman"/>
          <w:color w:val="auto"/>
          <w:sz w:val="32"/>
          <w:szCs w:val="32"/>
          <w:highlight w:val="none"/>
        </w:rPr>
        <w:t>年12月</w:t>
      </w:r>
      <w:r>
        <w:rPr>
          <w:rFonts w:hint="default" w:ascii="Times New Roman" w:hAnsi="Times New Roman" w:eastAsia="方正仿宋简体" w:cs="Times New Roman"/>
          <w:color w:val="auto"/>
          <w:sz w:val="32"/>
          <w:szCs w:val="32"/>
          <w:highlight w:val="none"/>
          <w:lang w:val="en-US" w:eastAsia="zh-CN"/>
        </w:rPr>
        <w:t>31日</w:t>
      </w:r>
      <w:r>
        <w:rPr>
          <w:rFonts w:hint="default" w:ascii="Times New Roman" w:hAnsi="Times New Roman" w:eastAsia="方正仿宋简体" w:cs="Times New Roman"/>
          <w:color w:val="auto"/>
          <w:sz w:val="32"/>
          <w:szCs w:val="32"/>
          <w:highlight w:val="none"/>
        </w:rPr>
        <w:t>，单位共有公务用车</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辆，其中：轿车</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辆、越野车</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辆、载客汽车</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辆。</w:t>
      </w:r>
    </w:p>
    <w:p w14:paraId="6E391A0B">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公务用车运行维护费支出</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6.87</w:t>
      </w:r>
      <w:r>
        <w:rPr>
          <w:rFonts w:hint="default" w:ascii="Times New Roman" w:hAnsi="Times New Roman" w:eastAsia="方正仿宋简体" w:cs="Times New Roman"/>
          <w:color w:val="auto"/>
          <w:sz w:val="32"/>
          <w:szCs w:val="32"/>
          <w:highlight w:val="none"/>
        </w:rPr>
        <w:t>万元。主要用于</w:t>
      </w:r>
      <w:r>
        <w:rPr>
          <w:rFonts w:hint="eastAsia" w:ascii="Times New Roman" w:hAnsi="Times New Roman" w:eastAsia="方正仿宋简体" w:cs="Times New Roman"/>
          <w:color w:val="auto"/>
          <w:sz w:val="32"/>
          <w:szCs w:val="32"/>
          <w:highlight w:val="none"/>
        </w:rPr>
        <w:t>常态化</w:t>
      </w:r>
      <w:r>
        <w:rPr>
          <w:rFonts w:hint="eastAsia" w:eastAsia="方正仿宋简体" w:cs="Times New Roman"/>
          <w:color w:val="auto"/>
          <w:sz w:val="32"/>
          <w:szCs w:val="32"/>
          <w:highlight w:val="none"/>
          <w:lang w:eastAsia="zh-CN"/>
        </w:rPr>
        <w:t>慰问</w:t>
      </w:r>
      <w:r>
        <w:rPr>
          <w:rFonts w:hint="eastAsia" w:ascii="Times New Roman" w:hAnsi="Times New Roman" w:eastAsia="方正仿宋简体" w:cs="Times New Roman"/>
          <w:color w:val="auto"/>
          <w:sz w:val="32"/>
          <w:szCs w:val="32"/>
          <w:highlight w:val="none"/>
        </w:rPr>
        <w:t>退役军人、</w:t>
      </w:r>
      <w:r>
        <w:rPr>
          <w:rFonts w:hint="eastAsia" w:eastAsia="方正仿宋简体" w:cs="Times New Roman"/>
          <w:color w:val="auto"/>
          <w:sz w:val="32"/>
          <w:szCs w:val="32"/>
          <w:highlight w:val="none"/>
          <w:lang w:eastAsia="zh-CN"/>
        </w:rPr>
        <w:t>督导优抚事业单位项目建设、</w:t>
      </w:r>
      <w:r>
        <w:rPr>
          <w:rFonts w:hint="eastAsia" w:ascii="Times New Roman" w:hAnsi="Times New Roman" w:eastAsia="方正仿宋简体" w:cs="Times New Roman"/>
          <w:color w:val="auto"/>
          <w:sz w:val="32"/>
          <w:szCs w:val="32"/>
          <w:highlight w:val="none"/>
        </w:rPr>
        <w:t>调研</w:t>
      </w:r>
      <w:r>
        <w:rPr>
          <w:rFonts w:hint="eastAsia" w:eastAsia="方正仿宋简体" w:cs="Times New Roman"/>
          <w:color w:val="auto"/>
          <w:sz w:val="32"/>
          <w:szCs w:val="32"/>
          <w:highlight w:val="none"/>
          <w:lang w:eastAsia="zh-CN"/>
        </w:rPr>
        <w:t>烈士</w:t>
      </w:r>
      <w:r>
        <w:rPr>
          <w:rFonts w:hint="eastAsia" w:ascii="Times New Roman" w:hAnsi="Times New Roman" w:eastAsia="方正仿宋简体" w:cs="Times New Roman"/>
          <w:color w:val="auto"/>
          <w:sz w:val="32"/>
          <w:szCs w:val="32"/>
          <w:highlight w:val="none"/>
        </w:rPr>
        <w:t>纪念设施、就业创业指导</w:t>
      </w:r>
      <w:r>
        <w:rPr>
          <w:rFonts w:hint="eastAsia" w:ascii="Times New Roman" w:hAnsi="Times New Roman" w:eastAsia="方正仿宋简体" w:cs="Times New Roman"/>
          <w:color w:val="auto"/>
          <w:kern w:val="2"/>
          <w:sz w:val="32"/>
          <w:szCs w:val="32"/>
          <w:highlight w:val="none"/>
          <w:lang w:val="en-US" w:eastAsia="zh-CN" w:bidi="ar-SA"/>
        </w:rPr>
        <w:t>、双拥模范城</w:t>
      </w:r>
      <w:r>
        <w:rPr>
          <w:rFonts w:hint="eastAsia" w:eastAsia="方正仿宋简体" w:cs="Times New Roman"/>
          <w:color w:val="auto"/>
          <w:kern w:val="2"/>
          <w:sz w:val="32"/>
          <w:szCs w:val="32"/>
          <w:highlight w:val="none"/>
          <w:lang w:val="en-US" w:eastAsia="zh-CN" w:bidi="ar-SA"/>
        </w:rPr>
        <w:t>创建考核</w:t>
      </w:r>
      <w:r>
        <w:rPr>
          <w:rFonts w:hint="default" w:ascii="Times New Roman" w:hAnsi="Times New Roman" w:eastAsia="方正仿宋简体" w:cs="Times New Roman"/>
          <w:color w:val="auto"/>
          <w:sz w:val="32"/>
          <w:szCs w:val="32"/>
          <w:highlight w:val="none"/>
        </w:rPr>
        <w:t>等所需的公务用车燃料费、维修费、过路过桥费、保险费等支出。</w:t>
      </w:r>
    </w:p>
    <w:p w14:paraId="4FFAB7AB">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3.公务接待费支出</w:t>
      </w:r>
      <w:r>
        <w:rPr>
          <w:rFonts w:hint="eastAsia" w:eastAsia="方正仿宋简体" w:cs="Times New Roman"/>
          <w:color w:val="auto"/>
          <w:sz w:val="32"/>
          <w:szCs w:val="32"/>
          <w:highlight w:val="none"/>
          <w:lang w:val="en-US" w:eastAsia="zh-CN"/>
        </w:rPr>
        <w:t>2.21</w:t>
      </w:r>
      <w:r>
        <w:rPr>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b w:val="0"/>
          <w:bCs/>
          <w:color w:val="auto"/>
          <w:sz w:val="32"/>
          <w:szCs w:val="32"/>
          <w:highlight w:val="none"/>
        </w:rPr>
        <w:t>完成预算</w:t>
      </w:r>
      <w:r>
        <w:rPr>
          <w:rStyle w:val="14"/>
          <w:rFonts w:hint="eastAsia" w:eastAsia="方正仿宋简体" w:cs="Times New Roman"/>
          <w:b w:val="0"/>
          <w:bCs/>
          <w:color w:val="auto"/>
          <w:sz w:val="32"/>
          <w:szCs w:val="32"/>
          <w:highlight w:val="none"/>
          <w:lang w:val="en-US" w:eastAsia="zh-CN"/>
        </w:rPr>
        <w:t>100</w:t>
      </w:r>
      <w:r>
        <w:rPr>
          <w:rStyle w:val="14"/>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rPr>
        <w:t>公务接待费支出决算比20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eastAsia" w:eastAsia="方正仿宋简体" w:cs="Times New Roman"/>
          <w:color w:val="auto"/>
          <w:sz w:val="32"/>
          <w:szCs w:val="32"/>
          <w:highlight w:val="none"/>
          <w:lang w:val="en-US" w:eastAsia="zh-CN"/>
        </w:rPr>
        <w:t>增加1.79</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eastAsia="zh-CN"/>
        </w:rPr>
        <w:t>增长</w:t>
      </w:r>
      <w:r>
        <w:rPr>
          <w:rFonts w:hint="eastAsia" w:eastAsia="方正仿宋简体" w:cs="Times New Roman"/>
          <w:color w:val="auto"/>
          <w:sz w:val="32"/>
          <w:szCs w:val="32"/>
          <w:highlight w:val="none"/>
          <w:lang w:val="en-US" w:eastAsia="zh-CN"/>
        </w:rPr>
        <w:t>4261.9</w:t>
      </w:r>
      <w:r>
        <w:rPr>
          <w:rFonts w:hint="default" w:ascii="Times New Roman" w:hAnsi="Times New Roman" w:eastAsia="方正仿宋简体" w:cs="Times New Roman"/>
          <w:color w:val="auto"/>
          <w:sz w:val="32"/>
          <w:szCs w:val="32"/>
          <w:highlight w:val="none"/>
        </w:rPr>
        <w:t>%。主要原因是</w:t>
      </w:r>
      <w:r>
        <w:rPr>
          <w:rFonts w:hint="eastAsia" w:ascii="Times New Roman" w:hAnsi="Times New Roman" w:eastAsia="方正仿宋简体" w:cs="Times New Roman"/>
          <w:color w:val="auto"/>
          <w:sz w:val="32"/>
          <w:szCs w:val="32"/>
          <w:highlight w:val="none"/>
        </w:rPr>
        <w:t>本年</w:t>
      </w:r>
      <w:r>
        <w:rPr>
          <w:rFonts w:hint="eastAsia" w:ascii="Times New Roman" w:hAnsi="Times New Roman" w:eastAsia="方正仿宋简体" w:cs="Times New Roman"/>
          <w:color w:val="auto"/>
          <w:sz w:val="32"/>
          <w:szCs w:val="32"/>
          <w:highlight w:val="none"/>
          <w:lang w:eastAsia="zh-CN"/>
        </w:rPr>
        <w:t>退役军人</w:t>
      </w:r>
      <w:r>
        <w:rPr>
          <w:rFonts w:hint="eastAsia" w:ascii="Times New Roman" w:hAnsi="Times New Roman" w:eastAsia="方正仿宋简体" w:cs="Times New Roman"/>
          <w:color w:val="auto"/>
          <w:sz w:val="32"/>
          <w:szCs w:val="32"/>
          <w:highlight w:val="none"/>
        </w:rPr>
        <w:t>事务部、兄弟省市退役</w:t>
      </w:r>
      <w:r>
        <w:rPr>
          <w:rFonts w:hint="eastAsia" w:ascii="Times New Roman" w:hAnsi="Times New Roman" w:eastAsia="方正仿宋简体" w:cs="Times New Roman"/>
          <w:color w:val="auto"/>
          <w:sz w:val="32"/>
          <w:szCs w:val="32"/>
          <w:highlight w:val="none"/>
          <w:lang w:eastAsia="zh-CN"/>
        </w:rPr>
        <w:t>军人事务</w:t>
      </w:r>
      <w:r>
        <w:rPr>
          <w:rFonts w:hint="eastAsia" w:ascii="Times New Roman" w:hAnsi="Times New Roman" w:eastAsia="方正仿宋简体" w:cs="Times New Roman"/>
          <w:color w:val="auto"/>
          <w:sz w:val="32"/>
          <w:szCs w:val="32"/>
          <w:highlight w:val="none"/>
        </w:rPr>
        <w:t>厅（局）、市（州）县退役军人事务局来我厅调研、交流、</w:t>
      </w:r>
      <w:r>
        <w:rPr>
          <w:rFonts w:hint="eastAsia" w:ascii="Times New Roman" w:hAnsi="Times New Roman" w:eastAsia="方正仿宋简体" w:cs="Times New Roman"/>
          <w:color w:val="auto"/>
          <w:sz w:val="32"/>
          <w:szCs w:val="32"/>
          <w:highlight w:val="none"/>
          <w:lang w:eastAsia="zh-CN"/>
        </w:rPr>
        <w:t>汇报工作</w:t>
      </w:r>
      <w:r>
        <w:rPr>
          <w:rFonts w:hint="eastAsia" w:ascii="Times New Roman" w:hAnsi="Times New Roman" w:eastAsia="方正仿宋简体" w:cs="Times New Roman"/>
          <w:color w:val="auto"/>
          <w:sz w:val="32"/>
          <w:szCs w:val="32"/>
          <w:highlight w:val="none"/>
        </w:rPr>
        <w:t>较上年增加，公务接待费增加</w:t>
      </w:r>
      <w:r>
        <w:rPr>
          <w:rFonts w:hint="default" w:ascii="Times New Roman" w:hAnsi="Times New Roman" w:eastAsia="方正仿宋简体" w:cs="Times New Roman"/>
          <w:color w:val="auto"/>
          <w:sz w:val="32"/>
          <w:szCs w:val="32"/>
          <w:highlight w:val="none"/>
        </w:rPr>
        <w:t>。其中：</w:t>
      </w:r>
    </w:p>
    <w:p w14:paraId="6F33FF00">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国内公务接待支出</w:t>
      </w:r>
      <w:r>
        <w:rPr>
          <w:rFonts w:hint="eastAsia" w:eastAsia="方正仿宋简体" w:cs="Times New Roman"/>
          <w:color w:val="auto"/>
          <w:sz w:val="32"/>
          <w:szCs w:val="32"/>
          <w:highlight w:val="none"/>
          <w:lang w:val="en-US" w:eastAsia="zh-CN"/>
        </w:rPr>
        <w:t>2.21</w:t>
      </w:r>
      <w:r>
        <w:rPr>
          <w:rFonts w:hint="default" w:ascii="Times New Roman" w:hAnsi="Times New Roman" w:eastAsia="方正仿宋简体" w:cs="Times New Roman"/>
          <w:color w:val="auto"/>
          <w:sz w:val="32"/>
          <w:szCs w:val="32"/>
          <w:highlight w:val="none"/>
        </w:rPr>
        <w:t>万元，主要</w:t>
      </w:r>
      <w:r>
        <w:rPr>
          <w:rFonts w:hint="eastAsia" w:eastAsia="方正仿宋简体" w:cs="Times New Roman"/>
          <w:color w:val="auto"/>
          <w:sz w:val="32"/>
          <w:szCs w:val="32"/>
          <w:highlight w:val="none"/>
          <w:lang w:eastAsia="zh-CN"/>
        </w:rPr>
        <w:t>用于</w:t>
      </w:r>
      <w:r>
        <w:rPr>
          <w:rFonts w:hint="eastAsia" w:eastAsia="方正仿宋简体" w:cs="Times New Roman"/>
          <w:color w:val="auto"/>
          <w:kern w:val="2"/>
          <w:sz w:val="32"/>
          <w:szCs w:val="32"/>
          <w:highlight w:val="none"/>
          <w:lang w:val="en-US" w:eastAsia="zh-CN" w:bidi="ar-SA"/>
        </w:rPr>
        <w:t>相关单位来厅学习交流、汇报工作等活动发生的接待支出</w:t>
      </w:r>
      <w:r>
        <w:rPr>
          <w:rFonts w:hint="default" w:ascii="Times New Roman" w:hAnsi="Times New Roman" w:eastAsia="方正仿宋简体" w:cs="Times New Roman"/>
          <w:color w:val="auto"/>
          <w:sz w:val="32"/>
          <w:szCs w:val="32"/>
          <w:highlight w:val="none"/>
        </w:rPr>
        <w:t>。国内公务接待</w:t>
      </w:r>
      <w:r>
        <w:rPr>
          <w:rFonts w:hint="eastAsia" w:eastAsia="方正仿宋简体" w:cs="Times New Roman"/>
          <w:color w:val="auto"/>
          <w:sz w:val="32"/>
          <w:szCs w:val="32"/>
          <w:highlight w:val="none"/>
          <w:lang w:val="en-US" w:eastAsia="zh-CN"/>
        </w:rPr>
        <w:t>20</w:t>
      </w:r>
      <w:r>
        <w:rPr>
          <w:rFonts w:hint="default" w:ascii="Times New Roman" w:hAnsi="Times New Roman" w:eastAsia="方正仿宋简体" w:cs="Times New Roman"/>
          <w:color w:val="auto"/>
          <w:sz w:val="32"/>
          <w:szCs w:val="32"/>
          <w:highlight w:val="none"/>
        </w:rPr>
        <w:t>批次，</w:t>
      </w:r>
      <w:r>
        <w:rPr>
          <w:rFonts w:hint="eastAsia" w:eastAsia="方正仿宋简体" w:cs="Times New Roman"/>
          <w:color w:val="auto"/>
          <w:sz w:val="32"/>
          <w:szCs w:val="32"/>
          <w:highlight w:val="none"/>
          <w:lang w:val="en-US" w:eastAsia="zh-CN"/>
        </w:rPr>
        <w:t>114</w:t>
      </w:r>
      <w:r>
        <w:rPr>
          <w:rFonts w:hint="default" w:ascii="Times New Roman" w:hAnsi="Times New Roman" w:eastAsia="方正仿宋简体" w:cs="Times New Roman"/>
          <w:color w:val="auto"/>
          <w:sz w:val="32"/>
          <w:szCs w:val="32"/>
          <w:highlight w:val="none"/>
        </w:rPr>
        <w:t>人次（不包括陪同人员），共计支出</w:t>
      </w:r>
      <w:r>
        <w:rPr>
          <w:rFonts w:hint="eastAsia" w:eastAsia="方正仿宋简体" w:cs="Times New Roman"/>
          <w:color w:val="auto"/>
          <w:sz w:val="32"/>
          <w:szCs w:val="32"/>
          <w:highlight w:val="none"/>
          <w:lang w:val="en-US" w:eastAsia="zh-CN"/>
        </w:rPr>
        <w:t>2.21</w:t>
      </w:r>
      <w:r>
        <w:rPr>
          <w:rFonts w:hint="default" w:ascii="Times New Roman" w:hAnsi="Times New Roman" w:eastAsia="方正仿宋简体" w:cs="Times New Roman"/>
          <w:color w:val="auto"/>
          <w:sz w:val="32"/>
          <w:szCs w:val="32"/>
          <w:highlight w:val="none"/>
        </w:rPr>
        <w:t>万元，具体内容包括：接待</w:t>
      </w:r>
      <w:r>
        <w:rPr>
          <w:rFonts w:hint="eastAsia" w:eastAsia="方正仿宋简体" w:cs="Times New Roman"/>
          <w:color w:val="auto"/>
          <w:sz w:val="32"/>
          <w:szCs w:val="32"/>
          <w:highlight w:val="none"/>
          <w:lang w:eastAsia="zh-CN"/>
        </w:rPr>
        <w:t>退役军人事务部；上海、天津、广东、吉林、西藏等退役军人事务厅局；绵阳、自贡市退役军人事务局</w:t>
      </w:r>
      <w:r>
        <w:rPr>
          <w:rFonts w:hint="eastAsia" w:ascii="Times New Roman" w:hAnsi="Times New Roman" w:eastAsia="方正仿宋简体" w:cs="Times New Roman"/>
          <w:color w:val="auto"/>
          <w:sz w:val="32"/>
          <w:szCs w:val="32"/>
          <w:highlight w:val="none"/>
          <w:lang w:eastAsia="zh-CN"/>
        </w:rPr>
        <w:t>来厅</w:t>
      </w:r>
      <w:r>
        <w:rPr>
          <w:rFonts w:hint="eastAsia" w:eastAsia="方正仿宋简体" w:cs="Times New Roman"/>
          <w:color w:val="auto"/>
          <w:sz w:val="32"/>
          <w:szCs w:val="32"/>
          <w:highlight w:val="none"/>
          <w:lang w:eastAsia="zh-CN"/>
        </w:rPr>
        <w:t>调研、工作</w:t>
      </w:r>
      <w:r>
        <w:rPr>
          <w:rFonts w:hint="eastAsia" w:ascii="Times New Roman" w:hAnsi="Times New Roman" w:eastAsia="方正仿宋简体" w:cs="Times New Roman"/>
          <w:color w:val="auto"/>
          <w:sz w:val="32"/>
          <w:szCs w:val="32"/>
          <w:highlight w:val="none"/>
          <w:lang w:eastAsia="zh-CN"/>
        </w:rPr>
        <w:t>交流、工作汇报</w:t>
      </w:r>
      <w:r>
        <w:rPr>
          <w:rFonts w:hint="eastAsia" w:eastAsia="方正仿宋简体" w:cs="Times New Roman"/>
          <w:color w:val="auto"/>
          <w:sz w:val="32"/>
          <w:szCs w:val="32"/>
          <w:highlight w:val="none"/>
          <w:lang w:eastAsia="zh-CN"/>
        </w:rPr>
        <w:t>支出</w:t>
      </w:r>
      <w:r>
        <w:rPr>
          <w:rFonts w:hint="default" w:ascii="Times New Roman" w:hAnsi="Times New Roman" w:eastAsia="方正仿宋简体" w:cs="Times New Roman"/>
          <w:color w:val="auto"/>
          <w:sz w:val="32"/>
          <w:szCs w:val="32"/>
          <w:highlight w:val="none"/>
        </w:rPr>
        <w:t>。</w:t>
      </w:r>
    </w:p>
    <w:p w14:paraId="1BC5DBED">
      <w:pPr>
        <w:pageBreakBefore w:val="0"/>
        <w:kinsoku/>
        <w:wordWrap/>
        <w:overflowPunct/>
        <w:topLinePunct w:val="0"/>
        <w:bidi w:val="0"/>
        <w:snapToGrid/>
        <w:spacing w:line="60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外事接待支出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外事接待</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批次，</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次（不包括陪同人员）</w:t>
      </w:r>
      <w:r>
        <w:rPr>
          <w:rFonts w:hint="default" w:ascii="Times New Roman" w:hAnsi="Times New Roman" w:eastAsia="方正仿宋简体" w:cs="Times New Roman"/>
          <w:color w:val="auto"/>
          <w:sz w:val="32"/>
          <w:szCs w:val="32"/>
          <w:highlight w:val="none"/>
        </w:rPr>
        <w:t>，共计支出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bookmarkStart w:id="40" w:name="_Toc15377218"/>
      <w:bookmarkStart w:id="41" w:name="_Toc15396610"/>
    </w:p>
    <w:p w14:paraId="5A92A8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5"/>
          <w:rFonts w:hint="eastAsia" w:ascii="方正黑体简体" w:hAnsi="方正黑体简体" w:eastAsia="方正黑体简体" w:cs="方正黑体简体"/>
          <w:b w:val="0"/>
          <w:color w:val="auto"/>
          <w:highlight w:val="none"/>
        </w:rPr>
      </w:pPr>
      <w:r>
        <w:rPr>
          <w:rStyle w:val="25"/>
          <w:rFonts w:hint="eastAsia" w:ascii="方正黑体简体" w:hAnsi="方正黑体简体" w:eastAsia="方正黑体简体" w:cs="方正黑体简体"/>
          <w:b w:val="0"/>
          <w:color w:val="auto"/>
          <w:highlight w:val="none"/>
        </w:rPr>
        <w:t>八、政府性基金预算支出决算情况说明</w:t>
      </w:r>
      <w:bookmarkEnd w:id="40"/>
      <w:bookmarkEnd w:id="41"/>
    </w:p>
    <w:p w14:paraId="12DBD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cs="Times New Roman"/>
          <w:color w:val="000000" w:themeColor="text1"/>
          <w:sz w:val="32"/>
          <w:szCs w:val="32"/>
          <w:lang w:val="en-US" w:eastAsia="zh-CN"/>
          <w14:textFill>
            <w14:solidFill>
              <w14:schemeClr w14:val="tx1"/>
            </w14:solidFill>
          </w14:textFill>
        </w:rPr>
      </w:pPr>
      <w:r>
        <w:rPr>
          <w:rFonts w:hint="eastAsia" w:eastAsia="方正仿宋简体" w:cs="Times New Roman"/>
          <w:color w:val="000000" w:themeColor="text1"/>
          <w:sz w:val="32"/>
          <w:szCs w:val="32"/>
          <w:lang w:val="en-US" w:eastAsia="zh-CN"/>
          <w14:textFill>
            <w14:solidFill>
              <w14:schemeClr w14:val="tx1"/>
            </w14:solidFill>
          </w14:textFill>
        </w:rPr>
        <w:t>2023年度政府性基金预算财政拨款支出0万元。</w:t>
      </w:r>
    </w:p>
    <w:p w14:paraId="3A1B3FCF">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outlineLvl w:val="1"/>
        <w:rPr>
          <w:rStyle w:val="25"/>
          <w:rFonts w:hint="eastAsia" w:ascii="方正黑体简体" w:hAnsi="方正黑体简体" w:eastAsia="方正黑体简体" w:cs="方正黑体简体"/>
          <w:b w:val="0"/>
          <w:color w:val="auto"/>
          <w:highlight w:val="none"/>
        </w:rPr>
      </w:pPr>
      <w:bookmarkStart w:id="42" w:name="_Toc15396611"/>
      <w:bookmarkStart w:id="43" w:name="_Toc15377219"/>
      <w:r>
        <w:rPr>
          <w:rStyle w:val="25"/>
          <w:rFonts w:hint="eastAsia" w:ascii="方正黑体简体" w:hAnsi="方正黑体简体" w:eastAsia="方正黑体简体" w:cs="方正黑体简体"/>
          <w:b w:val="0"/>
          <w:color w:val="auto"/>
          <w:highlight w:val="none"/>
        </w:rPr>
        <w:t>国有资本经营预算支出决算情况说明</w:t>
      </w:r>
      <w:bookmarkEnd w:id="42"/>
      <w:bookmarkEnd w:id="43"/>
    </w:p>
    <w:p w14:paraId="5FA1D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cs="Times New Roman"/>
          <w:color w:val="000000" w:themeColor="text1"/>
          <w:sz w:val="32"/>
          <w:szCs w:val="32"/>
          <w:lang w:val="en-US" w:eastAsia="zh-CN"/>
          <w14:textFill>
            <w14:solidFill>
              <w14:schemeClr w14:val="tx1"/>
            </w14:solidFill>
          </w14:textFill>
        </w:rPr>
      </w:pPr>
      <w:r>
        <w:rPr>
          <w:rFonts w:hint="eastAsia" w:eastAsia="方正仿宋简体" w:cs="Times New Roman"/>
          <w:color w:val="000000" w:themeColor="text1"/>
          <w:sz w:val="32"/>
          <w:szCs w:val="32"/>
          <w:lang w:val="en-US" w:eastAsia="zh-CN"/>
          <w14:textFill>
            <w14:solidFill>
              <w14:schemeClr w14:val="tx1"/>
            </w14:solidFill>
          </w14:textFill>
        </w:rPr>
        <w:t>2023年度国有资本经营预算财政拨款支出0万元。</w:t>
      </w:r>
    </w:p>
    <w:p w14:paraId="081A1BB0">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outlineLvl w:val="1"/>
        <w:rPr>
          <w:rStyle w:val="25"/>
          <w:rFonts w:hint="eastAsia" w:ascii="方正黑体简体" w:hAnsi="方正黑体简体" w:eastAsia="方正黑体简体" w:cs="方正黑体简体"/>
          <w:b w:val="0"/>
          <w:color w:val="auto"/>
          <w:highlight w:val="none"/>
        </w:rPr>
      </w:pPr>
      <w:bookmarkStart w:id="44" w:name="_Toc15377221"/>
      <w:bookmarkStart w:id="45" w:name="_Toc15396612"/>
      <w:r>
        <w:rPr>
          <w:rStyle w:val="25"/>
          <w:rFonts w:hint="eastAsia" w:ascii="方正黑体简体" w:hAnsi="方正黑体简体" w:eastAsia="方正黑体简体" w:cs="方正黑体简体"/>
          <w:b w:val="0"/>
          <w:color w:val="auto"/>
          <w:highlight w:val="none"/>
        </w:rPr>
        <w:t>其他重要事项的情况说明</w:t>
      </w:r>
      <w:bookmarkEnd w:id="44"/>
      <w:bookmarkEnd w:id="45"/>
    </w:p>
    <w:p w14:paraId="7E4927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46" w:name="_Toc15377222"/>
      <w:r>
        <w:rPr>
          <w:rFonts w:hint="eastAsia" w:ascii="Times New Roman" w:hAnsi="Times New Roman" w:eastAsia="方正楷体简体" w:cs="Times New Roman"/>
          <w:b/>
          <w:color w:val="auto"/>
          <w:sz w:val="32"/>
          <w:szCs w:val="32"/>
          <w:highlight w:val="none"/>
        </w:rPr>
        <w:t>（一）机关运行经费支出情况</w:t>
      </w:r>
      <w:bookmarkEnd w:id="46"/>
    </w:p>
    <w:p w14:paraId="3C13C76F">
      <w:pPr>
        <w:pageBreakBefore w:val="0"/>
        <w:kinsoku/>
        <w:wordWrap/>
        <w:overflowPunct/>
        <w:topLinePunct w:val="0"/>
        <w:bidi w:val="0"/>
        <w:snapToGrid/>
        <w:spacing w:line="600" w:lineRule="exact"/>
        <w:ind w:firstLine="640" w:firstLineChars="200"/>
        <w:textAlignment w:val="auto"/>
        <w:outlineLvl w:val="2"/>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color w:val="000000" w:themeColor="text1"/>
          <w:sz w:val="32"/>
          <w:szCs w:val="32"/>
          <w14:textFill>
            <w14:solidFill>
              <w14:schemeClr w14:val="tx1"/>
            </w14:solidFill>
          </w14:textFill>
        </w:rPr>
        <w:t>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eastAsia" w:eastAsia="方正仿宋简体"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简体" w:cs="Times New Roman"/>
          <w:color w:val="000000" w:themeColor="text1"/>
          <w:sz w:val="32"/>
          <w:szCs w:val="32"/>
          <w14:textFill>
            <w14:solidFill>
              <w14:schemeClr w14:val="tx1"/>
            </w14:solidFill>
          </w14:textFill>
        </w:rPr>
        <w:t>年</w:t>
      </w:r>
      <w:r>
        <w:rPr>
          <w:rFonts w:hint="eastAsia" w:eastAsia="方正仿宋简体" w:cs="Times New Roman"/>
          <w:color w:val="000000" w:themeColor="text1"/>
          <w:sz w:val="32"/>
          <w:szCs w:val="32"/>
          <w:lang w:eastAsia="zh-CN"/>
          <w14:textFill>
            <w14:solidFill>
              <w14:schemeClr w14:val="tx1"/>
            </w14:solidFill>
          </w14:textFill>
        </w:rPr>
        <w:t>度</w:t>
      </w:r>
      <w:r>
        <w:rPr>
          <w:rFonts w:hint="eastAsia" w:ascii="Times New Roman" w:hAnsi="Times New Roman" w:eastAsia="方正仿宋简体" w:cs="Times New Roman"/>
          <w:color w:val="000000" w:themeColor="text1"/>
          <w:sz w:val="32"/>
          <w:szCs w:val="32"/>
          <w14:textFill>
            <w14:solidFill>
              <w14:schemeClr w14:val="tx1"/>
            </w14:solidFill>
          </w14:textFill>
        </w:rPr>
        <w:t>，机关运行经费支出</w:t>
      </w:r>
      <w:r>
        <w:rPr>
          <w:rFonts w:hint="eastAsia" w:eastAsia="方正仿宋简体" w:cs="Times New Roman"/>
          <w:color w:val="000000" w:themeColor="text1"/>
          <w:sz w:val="32"/>
          <w:szCs w:val="32"/>
          <w:lang w:val="en-US" w:eastAsia="zh-CN"/>
          <w14:textFill>
            <w14:solidFill>
              <w14:schemeClr w14:val="tx1"/>
            </w14:solidFill>
          </w14:textFill>
        </w:rPr>
        <w:t>777.49</w:t>
      </w:r>
      <w:r>
        <w:rPr>
          <w:rFonts w:hint="eastAsia" w:ascii="Times New Roman" w:hAnsi="Times New Roman" w:eastAsia="方正仿宋简体" w:cs="Times New Roman"/>
          <w:color w:val="000000" w:themeColor="text1"/>
          <w:sz w:val="32"/>
          <w:szCs w:val="32"/>
          <w14:textFill>
            <w14:solidFill>
              <w14:schemeClr w14:val="tx1"/>
            </w14:solidFill>
          </w14:textFill>
        </w:rPr>
        <w:t>万元，比</w:t>
      </w:r>
      <w:r>
        <w:rPr>
          <w:rFonts w:hint="default" w:ascii="Times New Roman" w:hAnsi="Times New Roman" w:eastAsia="方正仿宋简体" w:cs="Times New Roman"/>
          <w:color w:val="000000" w:themeColor="text1"/>
          <w:sz w:val="32"/>
          <w:szCs w:val="32"/>
          <w14:textFill>
            <w14:solidFill>
              <w14:schemeClr w14:val="tx1"/>
            </w14:solidFill>
          </w14:textFill>
        </w:rPr>
        <w:t>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eastAsia" w:eastAsia="方正仿宋简体"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Times New Roman"/>
          <w:color w:val="000000" w:themeColor="text1"/>
          <w:sz w:val="32"/>
          <w:szCs w:val="32"/>
          <w14:textFill>
            <w14:solidFill>
              <w14:schemeClr w14:val="tx1"/>
            </w14:solidFill>
          </w14:textFill>
        </w:rPr>
        <w:t>年</w:t>
      </w:r>
      <w:r>
        <w:rPr>
          <w:rFonts w:hint="eastAsia" w:eastAsia="方正仿宋简体" w:cs="Times New Roman"/>
          <w:color w:val="000000" w:themeColor="text1"/>
          <w:sz w:val="32"/>
          <w:szCs w:val="32"/>
          <w:lang w:eastAsia="zh-CN"/>
          <w14:textFill>
            <w14:solidFill>
              <w14:schemeClr w14:val="tx1"/>
            </w14:solidFill>
          </w14:textFill>
        </w:rPr>
        <w:t>度增加</w:t>
      </w:r>
      <w:r>
        <w:rPr>
          <w:rFonts w:hint="eastAsia" w:eastAsia="方正仿宋简体" w:cs="Times New Roman"/>
          <w:color w:val="000000" w:themeColor="text1"/>
          <w:sz w:val="32"/>
          <w:szCs w:val="32"/>
          <w:lang w:val="en-US" w:eastAsia="zh-CN"/>
          <w14:textFill>
            <w14:solidFill>
              <w14:schemeClr w14:val="tx1"/>
            </w14:solidFill>
          </w14:textFill>
        </w:rPr>
        <w:t>204.68</w:t>
      </w:r>
      <w:r>
        <w:rPr>
          <w:rFonts w:hint="eastAsia" w:ascii="Times New Roman" w:hAnsi="Times New Roman" w:eastAsia="方正仿宋简体" w:cs="Times New Roman"/>
          <w:color w:val="000000" w:themeColor="text1"/>
          <w:sz w:val="32"/>
          <w:szCs w:val="32"/>
          <w14:textFill>
            <w14:solidFill>
              <w14:schemeClr w14:val="tx1"/>
            </w14:solidFill>
          </w14:textFill>
        </w:rPr>
        <w:t>万元，</w:t>
      </w:r>
      <w:r>
        <w:rPr>
          <w:rFonts w:hint="eastAsia" w:eastAsia="方正仿宋简体" w:cs="Times New Roman"/>
          <w:color w:val="000000" w:themeColor="text1"/>
          <w:sz w:val="32"/>
          <w:szCs w:val="32"/>
          <w:lang w:eastAsia="zh-CN"/>
          <w14:textFill>
            <w14:solidFill>
              <w14:schemeClr w14:val="tx1"/>
            </w14:solidFill>
          </w14:textFill>
        </w:rPr>
        <w:t>增长</w:t>
      </w:r>
      <w:r>
        <w:rPr>
          <w:rFonts w:hint="eastAsia" w:eastAsia="方正仿宋简体" w:cs="Times New Roman"/>
          <w:color w:val="000000" w:themeColor="text1"/>
          <w:sz w:val="32"/>
          <w:szCs w:val="32"/>
          <w:lang w:val="en-US" w:eastAsia="zh-CN"/>
          <w14:textFill>
            <w14:solidFill>
              <w14:schemeClr w14:val="tx1"/>
            </w14:solidFill>
          </w14:textFill>
        </w:rPr>
        <w:t>35.73</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14:textFill>
            <w14:solidFill>
              <w14:schemeClr w14:val="tx1"/>
            </w14:solidFill>
          </w14:textFill>
        </w:rPr>
        <w:t>主要原因</w:t>
      </w:r>
      <w:r>
        <w:rPr>
          <w:rFonts w:hint="eastAsia" w:eastAsia="方正仿宋简体"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Times New Roman"/>
          <w:bCs/>
          <w:sz w:val="32"/>
          <w:szCs w:val="32"/>
          <w:lang w:val="en-US" w:eastAsia="zh-CN"/>
        </w:rPr>
        <w:t>一是疫情结束后，厅机关到市（州）县考核、调研、督查、指导工作增加，差旅费增加；二是人员增加，食堂经费、体检费增加。</w:t>
      </w:r>
    </w:p>
    <w:p w14:paraId="55C5CEC8">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楷体简体" w:cs="Times New Roman"/>
          <w:b/>
          <w:color w:val="auto"/>
          <w:sz w:val="32"/>
          <w:szCs w:val="32"/>
          <w:highlight w:val="none"/>
        </w:rPr>
      </w:pPr>
      <w:bookmarkStart w:id="47" w:name="_Toc15377223"/>
      <w:r>
        <w:rPr>
          <w:rFonts w:hint="default" w:ascii="Times New Roman" w:hAnsi="Times New Roman" w:eastAsia="方正楷体简体" w:cs="Times New Roman"/>
          <w:b/>
          <w:color w:val="auto"/>
          <w:sz w:val="32"/>
          <w:szCs w:val="32"/>
          <w:highlight w:val="none"/>
        </w:rPr>
        <w:t>（二）政府采购支出情况</w:t>
      </w:r>
      <w:bookmarkEnd w:id="47"/>
    </w:p>
    <w:p w14:paraId="13A0DF47">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w:t>
      </w:r>
      <w:r>
        <w:rPr>
          <w:rFonts w:hint="eastAsia"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000000" w:themeColor="text1"/>
          <w:sz w:val="32"/>
          <w:szCs w:val="32"/>
          <w14:textFill>
            <w14:solidFill>
              <w14:schemeClr w14:val="tx1"/>
            </w14:solidFill>
          </w14:textFill>
        </w:rPr>
        <w:t>厅</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机关</w:t>
      </w:r>
      <w:r>
        <w:rPr>
          <w:rFonts w:hint="default" w:ascii="Times New Roman" w:hAnsi="Times New Roman" w:eastAsia="方正仿宋简体" w:cs="Times New Roman"/>
          <w:color w:val="auto"/>
          <w:sz w:val="32"/>
          <w:szCs w:val="32"/>
          <w:highlight w:val="none"/>
        </w:rPr>
        <w:t>政府采购支出总额</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,567</w:t>
      </w:r>
      <w:r>
        <w:rPr>
          <w:rFonts w:hint="default"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23</w:t>
      </w:r>
      <w:r>
        <w:rPr>
          <w:rFonts w:hint="default" w:ascii="Times New Roman" w:hAnsi="Times New Roman" w:eastAsia="方正仿宋简体" w:cs="Times New Roman"/>
          <w:color w:val="auto"/>
          <w:sz w:val="32"/>
          <w:szCs w:val="32"/>
          <w:highlight w:val="none"/>
        </w:rPr>
        <w:t>万元，其中：政府采购货物支出</w:t>
      </w:r>
      <w:r>
        <w:rPr>
          <w:rFonts w:hint="eastAsia" w:eastAsia="方正仿宋简体" w:cs="Times New Roman"/>
          <w:color w:val="auto"/>
          <w:sz w:val="32"/>
          <w:szCs w:val="32"/>
          <w:highlight w:val="none"/>
          <w:lang w:val="en-US" w:eastAsia="zh-CN"/>
        </w:rPr>
        <w:t>371</w:t>
      </w:r>
      <w:r>
        <w:rPr>
          <w:rFonts w:hint="default"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万元、政府采购工程支出</w:t>
      </w:r>
      <w:r>
        <w:rPr>
          <w:rFonts w:hint="default" w:ascii="Times New Roman" w:hAnsi="Times New Roman" w:eastAsia="方正仿宋简体" w:cs="Times New Roman"/>
          <w:color w:val="auto"/>
          <w:sz w:val="32"/>
          <w:szCs w:val="32"/>
          <w:highlight w:val="none"/>
          <w:lang w:val="en-US" w:eastAsia="zh-CN"/>
        </w:rPr>
        <w:t>1,</w:t>
      </w:r>
      <w:r>
        <w:rPr>
          <w:rFonts w:hint="eastAsia" w:eastAsia="方正仿宋简体" w:cs="Times New Roman"/>
          <w:color w:val="auto"/>
          <w:sz w:val="32"/>
          <w:szCs w:val="32"/>
          <w:highlight w:val="none"/>
          <w:lang w:val="en-US" w:eastAsia="zh-CN"/>
        </w:rPr>
        <w:t>433.19</w:t>
      </w:r>
      <w:r>
        <w:rPr>
          <w:rFonts w:hint="default" w:ascii="Times New Roman" w:hAnsi="Times New Roman" w:eastAsia="方正仿宋简体" w:cs="Times New Roman"/>
          <w:color w:val="auto"/>
          <w:sz w:val="32"/>
          <w:szCs w:val="32"/>
          <w:highlight w:val="none"/>
        </w:rPr>
        <w:t>万元、政府采购服务支出</w:t>
      </w:r>
      <w:r>
        <w:rPr>
          <w:rFonts w:hint="eastAsia" w:eastAsia="方正仿宋简体" w:cs="Times New Roman"/>
          <w:color w:val="auto"/>
          <w:sz w:val="32"/>
          <w:szCs w:val="32"/>
          <w:highlight w:val="none"/>
          <w:lang w:val="en-US" w:eastAsia="zh-CN"/>
        </w:rPr>
        <w:t>762.53</w:t>
      </w:r>
      <w:r>
        <w:rPr>
          <w:rFonts w:hint="default" w:ascii="Times New Roman" w:hAnsi="Times New Roman" w:eastAsia="方正仿宋简体" w:cs="Times New Roman"/>
          <w:color w:val="auto"/>
          <w:sz w:val="32"/>
          <w:szCs w:val="32"/>
          <w:highlight w:val="none"/>
        </w:rPr>
        <w:t>万元。主要用于</w:t>
      </w:r>
      <w:r>
        <w:rPr>
          <w:rFonts w:hint="eastAsia" w:ascii="Times New Roman" w:hAnsi="Times New Roman" w:eastAsia="方正仿宋简体" w:cs="Times New Roman"/>
          <w:color w:val="auto"/>
          <w:sz w:val="32"/>
          <w:szCs w:val="32"/>
          <w:highlight w:val="none"/>
        </w:rPr>
        <w:t>购置慰问部队物品、信息化系统网络建设、物业管理服务、</w:t>
      </w:r>
      <w:r>
        <w:rPr>
          <w:rFonts w:hint="eastAsia" w:eastAsia="方正仿宋简体" w:cs="Times New Roman"/>
          <w:color w:val="auto"/>
          <w:sz w:val="32"/>
          <w:szCs w:val="32"/>
          <w:highlight w:val="none"/>
          <w:lang w:eastAsia="zh-CN"/>
        </w:rPr>
        <w:t>双拥创建</w:t>
      </w:r>
      <w:r>
        <w:rPr>
          <w:rFonts w:hint="eastAsia" w:ascii="Times New Roman" w:hAnsi="Times New Roman" w:eastAsia="方正仿宋简体" w:cs="Times New Roman"/>
          <w:color w:val="auto"/>
          <w:sz w:val="32"/>
          <w:szCs w:val="32"/>
          <w:highlight w:val="none"/>
        </w:rPr>
        <w:t>等</w:t>
      </w:r>
      <w:r>
        <w:rPr>
          <w:rFonts w:hint="default" w:ascii="Times New Roman" w:hAnsi="Times New Roman" w:eastAsia="方正仿宋简体" w:cs="Times New Roman"/>
          <w:color w:val="auto"/>
          <w:sz w:val="32"/>
          <w:szCs w:val="32"/>
          <w:highlight w:val="none"/>
        </w:rPr>
        <w:t>。授予中小企业合同金额</w:t>
      </w:r>
      <w:r>
        <w:rPr>
          <w:rFonts w:hint="eastAsia" w:eastAsia="方正仿宋简体" w:cs="Times New Roman"/>
          <w:color w:val="auto"/>
          <w:sz w:val="32"/>
          <w:szCs w:val="32"/>
          <w:highlight w:val="none"/>
          <w:lang w:val="en-US" w:eastAsia="zh-CN"/>
        </w:rPr>
        <w:t>952.14</w:t>
      </w:r>
      <w:r>
        <w:rPr>
          <w:rFonts w:hint="default" w:ascii="Times New Roman" w:hAnsi="Times New Roman" w:eastAsia="方正仿宋简体" w:cs="Times New Roman"/>
          <w:color w:val="auto"/>
          <w:sz w:val="32"/>
          <w:szCs w:val="32"/>
          <w:highlight w:val="none"/>
        </w:rPr>
        <w:t>万元，占政府采购支出总额的</w:t>
      </w:r>
      <w:r>
        <w:rPr>
          <w:rFonts w:hint="eastAsia" w:eastAsia="方正仿宋简体" w:cs="Times New Roman"/>
          <w:color w:val="auto"/>
          <w:sz w:val="32"/>
          <w:szCs w:val="32"/>
          <w:highlight w:val="none"/>
          <w:lang w:val="en-US" w:eastAsia="zh-CN"/>
        </w:rPr>
        <w:t>37.09</w:t>
      </w:r>
      <w:r>
        <w:rPr>
          <w:rFonts w:hint="default" w:ascii="Times New Roman" w:hAnsi="Times New Roman" w:eastAsia="方正仿宋简体" w:cs="Times New Roman"/>
          <w:color w:val="auto"/>
          <w:sz w:val="32"/>
          <w:szCs w:val="32"/>
          <w:highlight w:val="none"/>
        </w:rPr>
        <w:t>%，其中：授予小微企业合同金额</w:t>
      </w:r>
      <w:r>
        <w:rPr>
          <w:rFonts w:hint="eastAsia" w:ascii="Times New Roman" w:hAnsi="Times New Roman" w:eastAsia="方正仿宋简体" w:cs="Times New Roman"/>
          <w:color w:val="auto"/>
          <w:sz w:val="32"/>
          <w:szCs w:val="32"/>
          <w:highlight w:val="none"/>
          <w:lang w:val="en-US" w:eastAsia="zh-CN"/>
        </w:rPr>
        <w:t>5</w:t>
      </w:r>
      <w:r>
        <w:rPr>
          <w:rFonts w:hint="eastAsia" w:eastAsia="方正仿宋简体" w:cs="Times New Roman"/>
          <w:color w:val="auto"/>
          <w:sz w:val="32"/>
          <w:szCs w:val="32"/>
          <w:highlight w:val="none"/>
          <w:lang w:val="en-US" w:eastAsia="zh-CN"/>
        </w:rPr>
        <w:t>.96</w:t>
      </w:r>
      <w:r>
        <w:rPr>
          <w:rFonts w:hint="default" w:ascii="Times New Roman" w:hAnsi="Times New Roman" w:eastAsia="方正仿宋简体" w:cs="Times New Roman"/>
          <w:color w:val="auto"/>
          <w:sz w:val="32"/>
          <w:szCs w:val="32"/>
          <w:highlight w:val="none"/>
        </w:rPr>
        <w:t>万元，占政府采购支出总额的</w:t>
      </w:r>
      <w:r>
        <w:rPr>
          <w:rFonts w:hint="eastAsia" w:eastAsia="方正仿宋简体" w:cs="Times New Roman"/>
          <w:color w:val="auto"/>
          <w:sz w:val="32"/>
          <w:szCs w:val="32"/>
          <w:highlight w:val="none"/>
          <w:lang w:val="en-US" w:eastAsia="zh-CN"/>
        </w:rPr>
        <w:t>0.23</w:t>
      </w:r>
      <w:r>
        <w:rPr>
          <w:rFonts w:hint="default" w:ascii="Times New Roman" w:hAnsi="Times New Roman" w:eastAsia="方正仿宋简体" w:cs="Times New Roman"/>
          <w:color w:val="auto"/>
          <w:sz w:val="32"/>
          <w:szCs w:val="32"/>
          <w:highlight w:val="none"/>
        </w:rPr>
        <w:t>%。</w:t>
      </w:r>
    </w:p>
    <w:p w14:paraId="106E9435">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48" w:name="_Toc15377224"/>
      <w:r>
        <w:rPr>
          <w:rFonts w:hint="eastAsia" w:ascii="Times New Roman" w:hAnsi="Times New Roman" w:eastAsia="方正楷体简体" w:cs="Times New Roman"/>
          <w:b/>
          <w:color w:val="auto"/>
          <w:sz w:val="32"/>
          <w:szCs w:val="32"/>
          <w:highlight w:val="none"/>
        </w:rPr>
        <w:t>（三）国有资产占有使用情况</w:t>
      </w:r>
      <w:bookmarkEnd w:id="48"/>
    </w:p>
    <w:p w14:paraId="72AB2A2A">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截至202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val="en-US" w:eastAsia="zh-CN"/>
        </w:rPr>
        <w:t>年12月31日，厅机关共有车辆</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val="en-US" w:eastAsia="zh-CN"/>
        </w:rPr>
        <w:t>辆，其中：主要领导干部用车1辆、机要通信用车</w:t>
      </w:r>
      <w:r>
        <w:rPr>
          <w:rFonts w:hint="eastAsia"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val="en-US" w:eastAsia="zh-CN"/>
        </w:rPr>
        <w:t>辆、应急保障用车1辆、</w:t>
      </w:r>
      <w:r>
        <w:rPr>
          <w:rFonts w:hint="eastAsia" w:eastAsia="方正仿宋简体" w:cs="Times New Roman"/>
          <w:color w:val="auto"/>
          <w:sz w:val="32"/>
          <w:szCs w:val="32"/>
          <w:highlight w:val="none"/>
          <w:lang w:val="en-US" w:eastAsia="zh-CN"/>
        </w:rPr>
        <w:t>离退休干部服务用车1辆、</w:t>
      </w:r>
      <w:r>
        <w:rPr>
          <w:rFonts w:hint="default" w:ascii="Times New Roman" w:hAnsi="Times New Roman" w:eastAsia="方正仿宋简体" w:cs="Times New Roman"/>
          <w:color w:val="auto"/>
          <w:sz w:val="32"/>
          <w:szCs w:val="32"/>
          <w:highlight w:val="none"/>
          <w:lang w:val="en-US" w:eastAsia="zh-CN"/>
        </w:rPr>
        <w:t>其他用车</w:t>
      </w:r>
      <w:r>
        <w:rPr>
          <w:rFonts w:hint="eastAsia"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val="en-US" w:eastAsia="zh-CN"/>
        </w:rPr>
        <w:t>辆，其他用车主要是用于</w:t>
      </w:r>
      <w:r>
        <w:rPr>
          <w:rFonts w:hint="eastAsia" w:eastAsia="方正仿宋简体" w:cs="Times New Roman"/>
          <w:color w:val="auto"/>
          <w:sz w:val="32"/>
          <w:szCs w:val="32"/>
          <w:highlight w:val="none"/>
          <w:lang w:val="en-US" w:eastAsia="zh-CN"/>
        </w:rPr>
        <w:t>机关干部外出调研用车</w:t>
      </w:r>
      <w:r>
        <w:rPr>
          <w:rFonts w:hint="default" w:ascii="Times New Roman" w:hAnsi="Times New Roman" w:eastAsia="方正仿宋简体" w:cs="Times New Roman"/>
          <w:color w:val="auto"/>
          <w:sz w:val="32"/>
          <w:szCs w:val="32"/>
          <w:highlight w:val="none"/>
          <w:lang w:val="en-US" w:eastAsia="zh-CN"/>
        </w:rPr>
        <w:t>。单价50万元以上通用设备</w:t>
      </w:r>
      <w:r>
        <w:rPr>
          <w:rFonts w:hint="eastAsia"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val="en-US" w:eastAsia="zh-CN"/>
        </w:rPr>
        <w:t>台（套），单价100万元</w:t>
      </w:r>
      <w:r>
        <w:rPr>
          <w:rFonts w:hint="eastAsia" w:ascii="Times New Roman" w:hAnsi="Times New Roman" w:eastAsia="方正仿宋简体" w:cs="Times New Roman"/>
          <w:color w:val="auto"/>
          <w:sz w:val="32"/>
          <w:szCs w:val="32"/>
          <w:highlight w:val="none"/>
          <w:lang w:val="en-US" w:eastAsia="zh-CN"/>
        </w:rPr>
        <w:t>（含）</w:t>
      </w:r>
      <w:r>
        <w:rPr>
          <w:rFonts w:hint="default" w:ascii="Times New Roman" w:hAnsi="Times New Roman" w:eastAsia="方正仿宋简体" w:cs="Times New Roman"/>
          <w:color w:val="auto"/>
          <w:sz w:val="32"/>
          <w:szCs w:val="32"/>
          <w:highlight w:val="none"/>
          <w:lang w:val="en-US" w:eastAsia="zh-CN"/>
        </w:rPr>
        <w:t>以上设备</w:t>
      </w:r>
      <w:r>
        <w:rPr>
          <w:rFonts w:hint="eastAsia" w:ascii="Times New Roman" w:hAnsi="Times New Roman" w:eastAsia="方正仿宋简体" w:cs="Times New Roman"/>
          <w:color w:val="auto"/>
          <w:sz w:val="32"/>
          <w:szCs w:val="32"/>
          <w:highlight w:val="none"/>
          <w:lang w:val="en-US" w:eastAsia="zh-CN"/>
        </w:rPr>
        <w:t>（不含车辆）0</w:t>
      </w:r>
      <w:r>
        <w:rPr>
          <w:rFonts w:hint="default" w:ascii="Times New Roman" w:hAnsi="Times New Roman" w:eastAsia="方正仿宋简体" w:cs="Times New Roman"/>
          <w:color w:val="auto"/>
          <w:sz w:val="32"/>
          <w:szCs w:val="32"/>
          <w:highlight w:val="none"/>
          <w:lang w:val="en-US" w:eastAsia="zh-CN"/>
        </w:rPr>
        <w:t>台（套）。</w:t>
      </w:r>
    </w:p>
    <w:p w14:paraId="5A98E4D4">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lang w:eastAsia="zh-CN"/>
        </w:rPr>
      </w:pPr>
      <w:r>
        <w:rPr>
          <w:rFonts w:hint="eastAsia" w:ascii="Times New Roman" w:hAnsi="Times New Roman" w:eastAsia="方正楷体简体" w:cs="Times New Roman"/>
          <w:b/>
          <w:color w:val="auto"/>
          <w:sz w:val="32"/>
          <w:szCs w:val="32"/>
          <w:highlight w:val="none"/>
        </w:rPr>
        <w:t>（四）预算绩效管理情况</w:t>
      </w:r>
    </w:p>
    <w:p w14:paraId="452560FC">
      <w:pPr>
        <w:pStyle w:val="5"/>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根据预算绩效管理要求，</w:t>
      </w:r>
      <w:r>
        <w:rPr>
          <w:rFonts w:hint="eastAsia" w:ascii="Times New Roman" w:eastAsia="方正仿宋简体" w:cs="Times New Roman"/>
          <w:color w:val="auto"/>
          <w:kern w:val="2"/>
          <w:sz w:val="32"/>
          <w:szCs w:val="32"/>
          <w:highlight w:val="none"/>
          <w:lang w:val="en-US" w:eastAsia="zh-CN" w:bidi="ar-SA"/>
        </w:rPr>
        <w:t>厅机关</w:t>
      </w:r>
      <w:r>
        <w:rPr>
          <w:rFonts w:hint="eastAsia" w:ascii="Times New Roman" w:hAnsi="Times New Roman" w:eastAsia="方正仿宋简体" w:cs="Times New Roman"/>
          <w:color w:val="auto"/>
          <w:kern w:val="2"/>
          <w:sz w:val="32"/>
          <w:szCs w:val="32"/>
          <w:highlight w:val="none"/>
          <w:lang w:val="en-US" w:eastAsia="zh-CN" w:bidi="ar-SA"/>
        </w:rPr>
        <w:t>在202</w:t>
      </w:r>
      <w:r>
        <w:rPr>
          <w:rFonts w:hint="eastAsia" w:ascii="Times New Roman" w:eastAsia="方正仿宋简体" w:cs="Times New Roman"/>
          <w:color w:val="auto"/>
          <w:kern w:val="2"/>
          <w:sz w:val="32"/>
          <w:szCs w:val="32"/>
          <w:highlight w:val="none"/>
          <w:lang w:val="en-US" w:eastAsia="zh-CN" w:bidi="ar-SA"/>
        </w:rPr>
        <w:t>3</w:t>
      </w:r>
      <w:r>
        <w:rPr>
          <w:rFonts w:hint="eastAsia" w:ascii="Times New Roman" w:hAnsi="Times New Roman" w:eastAsia="方正仿宋简体" w:cs="Times New Roman"/>
          <w:color w:val="auto"/>
          <w:kern w:val="2"/>
          <w:sz w:val="32"/>
          <w:szCs w:val="32"/>
          <w:highlight w:val="none"/>
          <w:lang w:val="en-US" w:eastAsia="zh-CN" w:bidi="ar-SA"/>
        </w:rPr>
        <w:t>年度预算编制阶段，组织对</w:t>
      </w:r>
      <w:r>
        <w:rPr>
          <w:rFonts w:hint="eastAsia" w:ascii="Times New Roman" w:eastAsia="方正仿宋简体" w:cs="Times New Roman"/>
          <w:color w:val="auto"/>
          <w:kern w:val="2"/>
          <w:sz w:val="32"/>
          <w:szCs w:val="32"/>
          <w:highlight w:val="none"/>
          <w:lang w:val="en-US" w:eastAsia="zh-CN" w:bidi="ar-SA"/>
        </w:rPr>
        <w:t>双拥创建</w:t>
      </w:r>
      <w:r>
        <w:rPr>
          <w:rFonts w:hint="eastAsia" w:ascii="Times New Roman" w:hAnsi="Times New Roman" w:eastAsia="方正仿宋简体" w:cs="Times New Roman"/>
          <w:color w:val="auto"/>
          <w:kern w:val="2"/>
          <w:sz w:val="32"/>
          <w:szCs w:val="32"/>
          <w:highlight w:val="none"/>
          <w:lang w:val="en-US" w:eastAsia="zh-Hans" w:bidi="ar-SA"/>
        </w:rPr>
        <w:t>、慰问费</w:t>
      </w:r>
      <w:r>
        <w:rPr>
          <w:rFonts w:hint="eastAsia" w:ascii="Times New Roman" w:eastAsia="方正仿宋简体" w:cs="Times New Roman"/>
          <w:color w:val="auto"/>
          <w:kern w:val="2"/>
          <w:sz w:val="32"/>
          <w:szCs w:val="32"/>
          <w:highlight w:val="none"/>
          <w:lang w:val="en-US" w:eastAsia="zh-CN" w:bidi="ar-SA"/>
        </w:rPr>
        <w:t>、就业创业补助3</w:t>
      </w:r>
      <w:r>
        <w:rPr>
          <w:rFonts w:hint="eastAsia" w:ascii="Times New Roman" w:hAnsi="Times New Roman" w:eastAsia="方正仿宋简体" w:cs="Times New Roman"/>
          <w:color w:val="auto"/>
          <w:kern w:val="2"/>
          <w:sz w:val="32"/>
          <w:szCs w:val="32"/>
          <w:highlight w:val="none"/>
          <w:lang w:val="en-US" w:eastAsia="zh-CN" w:bidi="ar-SA"/>
        </w:rPr>
        <w:t>个项目开展了预算事前绩效评估，对2</w:t>
      </w:r>
      <w:r>
        <w:rPr>
          <w:rFonts w:hint="eastAsia" w:ascii="Times New Roman" w:eastAsia="方正仿宋简体" w:cs="Times New Roman"/>
          <w:color w:val="auto"/>
          <w:kern w:val="2"/>
          <w:sz w:val="32"/>
          <w:szCs w:val="32"/>
          <w:highlight w:val="none"/>
          <w:lang w:val="en-US" w:eastAsia="zh-CN" w:bidi="ar-SA"/>
        </w:rPr>
        <w:t>2</w:t>
      </w:r>
      <w:r>
        <w:rPr>
          <w:rFonts w:hint="eastAsia" w:ascii="Times New Roman" w:hAnsi="Times New Roman" w:eastAsia="方正仿宋简体" w:cs="Times New Roman"/>
          <w:color w:val="auto"/>
          <w:kern w:val="2"/>
          <w:sz w:val="32"/>
          <w:szCs w:val="32"/>
          <w:highlight w:val="none"/>
          <w:lang w:val="en-US" w:eastAsia="zh-CN" w:bidi="ar-SA"/>
        </w:rPr>
        <w:t>个项目编制了绩效目标，预算执行过程中，选取</w:t>
      </w:r>
      <w:r>
        <w:rPr>
          <w:rFonts w:hint="eastAsia" w:ascii="Times New Roman" w:eastAsia="方正仿宋简体" w:cs="Times New Roman"/>
          <w:color w:val="auto"/>
          <w:kern w:val="2"/>
          <w:sz w:val="32"/>
          <w:szCs w:val="32"/>
          <w:highlight w:val="none"/>
          <w:lang w:val="en-US" w:eastAsia="zh-CN" w:bidi="ar-SA"/>
        </w:rPr>
        <w:t>30</w:t>
      </w:r>
      <w:r>
        <w:rPr>
          <w:rFonts w:hint="eastAsia" w:ascii="Times New Roman" w:hAnsi="Times New Roman" w:eastAsia="方正仿宋简体" w:cs="Times New Roman"/>
          <w:color w:val="auto"/>
          <w:kern w:val="2"/>
          <w:sz w:val="32"/>
          <w:szCs w:val="32"/>
          <w:highlight w:val="none"/>
          <w:lang w:val="en-US" w:eastAsia="zh-CN" w:bidi="ar-SA"/>
        </w:rPr>
        <w:t>个项目开展绩效监控，组织对</w:t>
      </w:r>
      <w:r>
        <w:rPr>
          <w:rFonts w:hint="eastAsia" w:ascii="Times New Roman" w:eastAsia="方正仿宋简体" w:cs="Times New Roman"/>
          <w:color w:val="auto"/>
          <w:kern w:val="2"/>
          <w:sz w:val="32"/>
          <w:szCs w:val="32"/>
          <w:highlight w:val="none"/>
          <w:lang w:val="en-US" w:eastAsia="zh-CN" w:bidi="ar-SA"/>
        </w:rPr>
        <w:t>6</w:t>
      </w:r>
      <w:r>
        <w:rPr>
          <w:rFonts w:hint="eastAsia" w:ascii="Times New Roman" w:hAnsi="Times New Roman" w:eastAsia="方正仿宋简体" w:cs="Times New Roman"/>
          <w:color w:val="auto"/>
          <w:kern w:val="2"/>
          <w:sz w:val="32"/>
          <w:szCs w:val="32"/>
          <w:highlight w:val="none"/>
          <w:lang w:val="en-US" w:eastAsia="zh-CN" w:bidi="ar-SA"/>
        </w:rPr>
        <w:t>个项目开展绩效自评，绩效自评表详见第四部分附件。</w:t>
      </w:r>
    </w:p>
    <w:p w14:paraId="0A78B008">
      <w:pPr>
        <w:pageBreakBefore w:val="0"/>
        <w:widowControl/>
        <w:kinsoku/>
        <w:wordWrap/>
        <w:overflowPunct/>
        <w:topLinePunct w:val="0"/>
        <w:bidi w:val="0"/>
        <w:snapToGrid/>
        <w:spacing w:line="600" w:lineRule="exact"/>
        <w:jc w:val="left"/>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24DE8B01">
      <w:pPr>
        <w:pageBreakBefore w:val="0"/>
        <w:numPr>
          <w:ilvl w:val="0"/>
          <w:numId w:val="4"/>
        </w:numPr>
        <w:kinsoku/>
        <w:wordWrap/>
        <w:overflowPunct/>
        <w:topLinePunct w:val="0"/>
        <w:bidi w:val="0"/>
        <w:snapToGrid/>
        <w:spacing w:line="600" w:lineRule="exact"/>
        <w:ind w:firstLine="660" w:firstLineChars="150"/>
        <w:jc w:val="center"/>
        <w:textAlignment w:val="auto"/>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14:paraId="21F3F030">
      <w:pPr>
        <w:pageBreakBefore w:val="0"/>
        <w:kinsoku/>
        <w:wordWrap/>
        <w:overflowPunct/>
        <w:topLinePunct w:val="0"/>
        <w:bidi w:val="0"/>
        <w:snapToGrid/>
        <w:spacing w:line="600" w:lineRule="exact"/>
        <w:jc w:val="left"/>
        <w:textAlignment w:val="auto"/>
        <w:rPr>
          <w:rFonts w:ascii="宋体"/>
          <w:b/>
          <w:color w:val="auto"/>
          <w:sz w:val="44"/>
          <w:szCs w:val="44"/>
          <w:highlight w:val="none"/>
        </w:rPr>
      </w:pPr>
    </w:p>
    <w:p w14:paraId="5AC69846">
      <w:pPr>
        <w:pStyle w:val="22"/>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1.财政拨款收入：指单位从同级财政部门取得的财政预算资金。</w:t>
      </w:r>
    </w:p>
    <w:p w14:paraId="4E5AC003">
      <w:pPr>
        <w:pStyle w:val="22"/>
        <w:spacing w:line="560" w:lineRule="exact"/>
        <w:ind w:firstLine="640" w:firstLineChars="200"/>
        <w:rPr>
          <w:rFonts w:hint="eastAsia" w:eastAsia="方正仿宋简体" w:cs="Times New Roman"/>
          <w:color w:val="000000"/>
          <w:kern w:val="0"/>
          <w:sz w:val="32"/>
          <w:szCs w:val="32"/>
          <w:lang w:val="en-US" w:eastAsia="zh-CN"/>
        </w:rPr>
      </w:pPr>
      <w:r>
        <w:rPr>
          <w:rFonts w:hint="eastAsia" w:ascii="Times New Roman" w:hAnsi="Times New Roman" w:eastAsia="方正仿宋简体" w:cs="Times New Roman"/>
          <w:color w:val="000000"/>
          <w:kern w:val="0"/>
          <w:sz w:val="32"/>
          <w:szCs w:val="32"/>
          <w:highlight w:val="none"/>
          <w:lang w:val="en-US" w:eastAsia="zh-CN" w:bidi="ar-SA"/>
        </w:rPr>
        <w:t>2</w:t>
      </w:r>
      <w:r>
        <w:rPr>
          <w:rFonts w:hint="default" w:ascii="Times New Roman" w:hAnsi="Times New Roman" w:eastAsia="方正仿宋简体" w:cs="Times New Roman"/>
          <w:color w:val="000000"/>
          <w:kern w:val="0"/>
          <w:sz w:val="32"/>
          <w:szCs w:val="32"/>
          <w:highlight w:val="none"/>
          <w:lang w:val="en-US" w:eastAsia="zh-CN" w:bidi="ar-SA"/>
        </w:rPr>
        <w:t>.一般公共服务（类）政府办公厅（室）及相关机构事务（款）其他政府办公厅（室）及相关机构事务支出（项）：指政府办公厅（室）及相关机构事务未包括的其他政府办公厅（室）及相关机构事务支出</w:t>
      </w:r>
      <w:r>
        <w:rPr>
          <w:rFonts w:hint="default" w:ascii="Times New Roman" w:hAnsi="Times New Roman" w:eastAsia="方正仿宋简体" w:cs="Times New Roman"/>
          <w:color w:val="000000"/>
          <w:kern w:val="0"/>
          <w:sz w:val="32"/>
          <w:szCs w:val="32"/>
          <w:highlight w:val="none"/>
        </w:rPr>
        <w:t>。</w:t>
      </w:r>
    </w:p>
    <w:p w14:paraId="1C3D274E">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3</w:t>
      </w:r>
      <w:r>
        <w:rPr>
          <w:rFonts w:hint="default" w:ascii="Times New Roman" w:hAnsi="Times New Roman" w:eastAsia="方正仿宋简体" w:cs="Times New Roman"/>
          <w:color w:val="000000"/>
          <w:kern w:val="0"/>
          <w:sz w:val="32"/>
          <w:szCs w:val="32"/>
        </w:rPr>
        <w:t>.一般公共服务（类）市场监督管理事务（款）其他市场监督管理事务（项）</w:t>
      </w:r>
      <w:r>
        <w:rPr>
          <w:rFonts w:hint="eastAsia" w:eastAsia="方正仿宋简体" w:cs="Times New Roman"/>
          <w:sz w:val="32"/>
          <w:szCs w:val="32"/>
          <w:lang w:eastAsia="zh-CN"/>
        </w:rPr>
        <w:t>：</w:t>
      </w:r>
      <w:r>
        <w:rPr>
          <w:rFonts w:hint="default" w:ascii="Times New Roman" w:hAnsi="Times New Roman" w:eastAsia="方正仿宋简体" w:cs="Times New Roman"/>
          <w:color w:val="000000"/>
          <w:kern w:val="0"/>
          <w:sz w:val="32"/>
          <w:szCs w:val="32"/>
        </w:rPr>
        <w:t>指</w:t>
      </w:r>
      <w:r>
        <w:rPr>
          <w:rFonts w:hint="eastAsia" w:eastAsia="方正仿宋简体" w:cs="Times New Roman"/>
          <w:color w:val="000000"/>
          <w:kern w:val="0"/>
          <w:sz w:val="32"/>
          <w:szCs w:val="32"/>
          <w:lang w:eastAsia="zh-CN"/>
        </w:rPr>
        <w:t>除市场监督管理事务未包括的其他市场监督管理事务方面的</w:t>
      </w:r>
      <w:r>
        <w:rPr>
          <w:rFonts w:hint="default" w:ascii="Times New Roman" w:hAnsi="Times New Roman" w:eastAsia="方正仿宋简体" w:cs="Times New Roman"/>
          <w:color w:val="000000"/>
          <w:kern w:val="0"/>
          <w:sz w:val="32"/>
          <w:szCs w:val="32"/>
        </w:rPr>
        <w:t>支出。</w:t>
      </w:r>
    </w:p>
    <w:p w14:paraId="3AD51D49">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4</w:t>
      </w:r>
      <w:r>
        <w:rPr>
          <w:rFonts w:hint="default" w:ascii="Times New Roman" w:hAnsi="Times New Roman" w:eastAsia="方正仿宋简体" w:cs="Times New Roman"/>
          <w:color w:val="000000"/>
          <w:kern w:val="0"/>
          <w:sz w:val="32"/>
          <w:szCs w:val="32"/>
        </w:rPr>
        <w:t>.教育（类）进修及培训（款）培训支出（项）：指各部门安排的用于培训的支出。</w:t>
      </w:r>
    </w:p>
    <w:p w14:paraId="789EFA74">
      <w:pPr>
        <w:spacing w:line="600" w:lineRule="exact"/>
        <w:ind w:firstLine="640" w:firstLineChars="200"/>
        <w:rPr>
          <w:rFonts w:hint="default" w:ascii="Times New Roman" w:hAnsi="Times New Roman" w:eastAsia="方正仿宋简体" w:cs="Times New Roman"/>
          <w:color w:val="000000"/>
          <w:kern w:val="0"/>
          <w:sz w:val="32"/>
          <w:szCs w:val="32"/>
          <w:highlight w:val="none"/>
          <w:lang w:eastAsia="zh-CN"/>
        </w:rPr>
      </w:pPr>
      <w:r>
        <w:rPr>
          <w:rFonts w:hint="eastAsia" w:eastAsia="方正仿宋简体" w:cs="Times New Roman"/>
          <w:color w:val="000000"/>
          <w:kern w:val="0"/>
          <w:sz w:val="32"/>
          <w:szCs w:val="32"/>
          <w:highlight w:val="none"/>
          <w:lang w:val="en-US" w:eastAsia="zh-CN"/>
        </w:rPr>
        <w:t>5</w:t>
      </w:r>
      <w:r>
        <w:rPr>
          <w:rFonts w:hint="default" w:ascii="Times New Roman" w:hAnsi="Times New Roman" w:eastAsia="方正仿宋简体" w:cs="Times New Roman"/>
          <w:color w:val="000000"/>
          <w:kern w:val="0"/>
          <w:sz w:val="32"/>
          <w:szCs w:val="32"/>
          <w:highlight w:val="none"/>
          <w:lang w:val="en-US" w:eastAsia="zh-CN"/>
        </w:rPr>
        <w:t>.</w:t>
      </w:r>
      <w:r>
        <w:rPr>
          <w:rFonts w:hint="default" w:ascii="Times New Roman" w:hAnsi="Times New Roman" w:eastAsia="方正仿宋简体" w:cs="Times New Roman"/>
          <w:color w:val="000000"/>
          <w:kern w:val="0"/>
          <w:sz w:val="32"/>
          <w:szCs w:val="32"/>
          <w:highlight w:val="none"/>
        </w:rPr>
        <w:t>教育（类）进修及培训（款）退役士兵能力提升（项</w:t>
      </w:r>
      <w:r>
        <w:rPr>
          <w:rFonts w:hint="default" w:ascii="Times New Roman" w:hAnsi="Times New Roman" w:eastAsia="方正仿宋简体" w:cs="Times New Roman"/>
          <w:color w:val="000000"/>
          <w:kern w:val="0"/>
          <w:sz w:val="32"/>
          <w:szCs w:val="32"/>
          <w:highlight w:val="none"/>
          <w:lang w:val="en-US" w:eastAsia="zh-CN"/>
        </w:rPr>
        <w:t>)：</w:t>
      </w:r>
      <w:r>
        <w:rPr>
          <w:rFonts w:hint="default" w:ascii="Times New Roman" w:hAnsi="Times New Roman" w:eastAsia="方正仿宋简体" w:cs="Times New Roman"/>
          <w:color w:val="000000"/>
          <w:kern w:val="0"/>
          <w:sz w:val="32"/>
          <w:szCs w:val="32"/>
          <w:highlight w:val="none"/>
        </w:rPr>
        <w:t>指</w:t>
      </w:r>
      <w:r>
        <w:rPr>
          <w:rFonts w:hint="default" w:ascii="Times New Roman" w:hAnsi="Times New Roman" w:eastAsia="方正仿宋简体" w:cs="Times New Roman"/>
          <w:color w:val="000000"/>
          <w:kern w:val="0"/>
          <w:sz w:val="32"/>
          <w:szCs w:val="32"/>
          <w:highlight w:val="none"/>
          <w:lang w:eastAsia="zh-CN"/>
        </w:rPr>
        <w:t>退役士兵技能培训支出，以及转业士官待分配期间培训支出。</w:t>
      </w:r>
    </w:p>
    <w:p w14:paraId="69D3EF93">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6.</w:t>
      </w:r>
      <w:r>
        <w:rPr>
          <w:rFonts w:hint="default" w:ascii="Times New Roman" w:hAnsi="Times New Roman" w:eastAsia="方正仿宋简体" w:cs="Times New Roman"/>
          <w:color w:val="000000"/>
          <w:kern w:val="0"/>
          <w:sz w:val="32"/>
          <w:szCs w:val="32"/>
        </w:rPr>
        <w:t>社会保障和就业（类）行政事业单位离退休（款）行政单位离退休（项）：指行政单位（包括实行公务员管理的事业单位）开支的离退休经费。</w:t>
      </w:r>
    </w:p>
    <w:p w14:paraId="16D47D46">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7</w:t>
      </w:r>
      <w:r>
        <w:rPr>
          <w:rFonts w:hint="default" w:ascii="Times New Roman" w:hAnsi="Times New Roman" w:eastAsia="方正仿宋简体" w:cs="Times New Roman"/>
          <w:color w:val="000000"/>
          <w:kern w:val="0"/>
          <w:sz w:val="32"/>
          <w:szCs w:val="32"/>
        </w:rPr>
        <w:t>.社会保障和就业（类）行政事业单位离退休（款）机关事业单位基本养老保险缴费支出（项）：指机关事业单位实施养老制度由单位缴纳的基本养老保险费支出。</w:t>
      </w:r>
    </w:p>
    <w:p w14:paraId="6E138A23">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8</w:t>
      </w:r>
      <w:r>
        <w:rPr>
          <w:rFonts w:hint="default" w:ascii="Times New Roman" w:hAnsi="Times New Roman" w:eastAsia="方正仿宋简体" w:cs="Times New Roman"/>
          <w:color w:val="000000"/>
          <w:kern w:val="0"/>
          <w:sz w:val="32"/>
          <w:szCs w:val="32"/>
        </w:rPr>
        <w:t>.社会保障和就业（类）行政事业单位离退休（款）机关事业单位职业年金缴费支出（项）：指机关事业单位实施养老保险制度由单位实际缴纳的职业年金支出。</w:t>
      </w:r>
    </w:p>
    <w:p w14:paraId="3F943DD8">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eastAsia" w:asci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rPr>
        <w:t>.社会保障和就业（类）就业补助（款）其他就业补助支出（项）：指除上述科目以外按规定确定的其他用于促进就业的补助支出。</w:t>
      </w:r>
    </w:p>
    <w:p w14:paraId="26B3B4C2">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.社会保障和就业（类）退役军人管理事务（款）行政运行（项）：指行政单位（包括实行公务员管理的事业单位）的基本支出。</w:t>
      </w:r>
    </w:p>
    <w:p w14:paraId="06B59B5B">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.社会保障和就业（类）退役军人管理事务（款）一般行政管理事务（项）：指行政单位（包括实行公务员管理的事业单位）的单独设置项级科目的其他项目支出。</w:t>
      </w:r>
    </w:p>
    <w:p w14:paraId="201EF1DB">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.社会保障和就业（类）退役军人管理事务（款）拥军优属（项）：指开展拥军优属活动的支出。</w:t>
      </w:r>
    </w:p>
    <w:p w14:paraId="4E55FB79">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.社会保障和就业（类）退役军人管理事务（款）其他退役军人管理事务（项）：指其他用于退役军人事务管理方面的支出。</w:t>
      </w:r>
    </w:p>
    <w:p w14:paraId="5EE66F0B">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14:paraId="30C35847">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.卫生健康（类）行政事业单位医疗（款）公务员医疗补助（项）：指财政部门安排的公务员医疗补助经费。</w:t>
      </w:r>
    </w:p>
    <w:p w14:paraId="5D338F32">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 xml:space="preserve">.住房保障（类）住房改革支出（款）住房公积金（项）：指行政事业单位按人力资源和社会保障部、财政部规定的基本工资和津贴补贴以及规定比例为职工缴纳的住房公积金。     </w:t>
      </w:r>
    </w:p>
    <w:p w14:paraId="6E5A47C3">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.住房保障（类）住房改革支出（款）购房补贴（项）：指按房改政策规定，行政事业单位向符合条件职工（含离退休人员）、军队（含武警）向转役复员离退休人员发放的用于购买住房的补贴。</w:t>
      </w:r>
    </w:p>
    <w:p w14:paraId="27CF7F33">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.基本支出：指为保障机构正常运转、完成日常工作任务而发生的人员支出和公用支出。</w:t>
      </w:r>
    </w:p>
    <w:p w14:paraId="12C5B989">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eastAsia" w:ascii="Times New Roman" w:eastAsia="方正仿宋简体" w:cs="Times New Roman"/>
          <w:color w:val="000000"/>
          <w:sz w:val="32"/>
          <w:szCs w:val="32"/>
          <w:lang w:val="en-US" w:eastAsia="zh-CN"/>
        </w:rPr>
        <w:t>19</w:t>
      </w:r>
      <w:r>
        <w:rPr>
          <w:rFonts w:hint="default" w:ascii="Times New Roman" w:hAnsi="Times New Roman" w:eastAsia="方正仿宋简体" w:cs="Times New Roman"/>
          <w:color w:val="000000"/>
          <w:sz w:val="32"/>
          <w:szCs w:val="32"/>
        </w:rPr>
        <w:t>.项目支出：指在基本支出之外为完成特定行政任务和事业发展目标所发生的支出。</w:t>
      </w:r>
    </w:p>
    <w:p w14:paraId="3DE1E2B6">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w:t>
      </w:r>
      <w:r>
        <w:rPr>
          <w:rFonts w:hint="eastAsia" w:asci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14:paraId="25BC7EEC">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w:t>
      </w:r>
      <w:r>
        <w:rPr>
          <w:rFonts w:hint="eastAsia" w:asci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580D6D">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bookmarkStart w:id="51" w:name="_Toc15396614"/>
      <w:bookmarkStart w:id="52" w:name="_Toc15377226"/>
    </w:p>
    <w:p w14:paraId="31DF6849">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319034D0">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A508C34">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0C9C8934">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545FA08E">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3E4E34AB">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29A4B5A6">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6FEEF08C">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3899CDA6">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64AE622">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208112BE">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1C3F7F6E">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1CBE78FC">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62509907">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CE25DF3">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26BF5AEE">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0A2A923">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1A9E8A8">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04EABDAE">
      <w:pPr>
        <w:pageBreakBefore w:val="0"/>
        <w:kinsoku/>
        <w:wordWrap/>
        <w:overflowPunct/>
        <w:topLinePunct w:val="0"/>
        <w:bidi w:val="0"/>
        <w:snapToGrid/>
        <w:spacing w:line="600" w:lineRule="exact"/>
        <w:jc w:val="center"/>
        <w:textAlignment w:val="auto"/>
        <w:outlineLvl w:val="0"/>
        <w:rPr>
          <w:rStyle w:val="24"/>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p>
    <w:bookmarkEnd w:id="51"/>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940"/>
        <w:gridCol w:w="756"/>
        <w:gridCol w:w="853"/>
        <w:gridCol w:w="712"/>
        <w:gridCol w:w="756"/>
        <w:gridCol w:w="614"/>
        <w:gridCol w:w="762"/>
        <w:gridCol w:w="704"/>
        <w:gridCol w:w="704"/>
        <w:gridCol w:w="757"/>
      </w:tblGrid>
      <w:tr w14:paraId="2927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35DCE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1D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16D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CC02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51000021T000000081748-慰问费</w:t>
            </w:r>
          </w:p>
        </w:tc>
      </w:tr>
      <w:tr w14:paraId="4489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31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448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445" w:type="pct"/>
            <w:tcBorders>
              <w:top w:val="nil"/>
              <w:left w:val="nil"/>
              <w:bottom w:val="nil"/>
              <w:right w:val="nil"/>
            </w:tcBorders>
            <w:shd w:val="clear" w:color="auto" w:fill="auto"/>
            <w:vAlign w:val="center"/>
          </w:tcPr>
          <w:p w14:paraId="09365FB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F6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14:paraId="1721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5C5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FB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C7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0D2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23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9D53">
            <w:pP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E9D4">
            <w:pPr>
              <w:rPr>
                <w:rFonts w:hint="eastAsia" w:ascii="宋体" w:hAnsi="宋体" w:eastAsia="宋体" w:cs="宋体"/>
                <w:i w:val="0"/>
                <w:iCs w:val="0"/>
                <w:color w:val="000000"/>
                <w:sz w:val="18"/>
                <w:szCs w:val="18"/>
                <w:u w:val="none"/>
              </w:rPr>
            </w:pP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7E4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厅2023年投入700万元，通过采购物资节日慰问部队，优抚医院，省委、省人大、省政府、省政协、省纪委监委、省公安厅武警中队，全省1至4级伤残军，稻城县部队、开展军地迎春座谈会，提升慰问对象幸福感和满意度，引领促进全省拥军优属工作。</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D9D7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已完成春节、八一慰问部队，优抚医院，省委、省人大、省政府、省政协、省纪委监委、省公安厅武警中队，全省1至4级伤残军，稻城县部队，并开展军地迎春座谈会。</w:t>
            </w:r>
          </w:p>
        </w:tc>
      </w:tr>
      <w:tr w14:paraId="51E5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8D5B6">
            <w:pP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10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B137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采购物资节日慰问部队，优抚医院，省委、省人大、省政府、省政协、省纪委监委、省公安厅武警中队，全省1至4级伤残军，稻城县部队、开展军地迎春座谈会，提升慰问对象幸福感和满意度，引领促进全省拥军优属工作。</w:t>
            </w:r>
          </w:p>
        </w:tc>
      </w:tr>
      <w:tr w14:paraId="3E01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45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1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3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8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81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3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B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C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D6F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42B2">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1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4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F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671.20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4F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A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A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E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9.57</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D7ABE">
            <w:pPr>
              <w:rPr>
                <w:rFonts w:hint="eastAsia" w:ascii="黑体" w:hAnsi="黑体" w:eastAsia="黑体" w:cs="黑体"/>
                <w:i/>
                <w:iCs/>
                <w:color w:val="000000"/>
                <w:sz w:val="18"/>
                <w:szCs w:val="18"/>
                <w:u w:val="none"/>
              </w:rPr>
            </w:pPr>
          </w:p>
        </w:tc>
      </w:tr>
      <w:tr w14:paraId="033C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5603">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5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B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0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671.20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F5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2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0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0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7ED4">
            <w:pPr>
              <w:rPr>
                <w:rFonts w:hint="eastAsia" w:ascii="黑体" w:hAnsi="黑体" w:eastAsia="黑体" w:cs="黑体"/>
                <w:i/>
                <w:iCs/>
                <w:color w:val="000000"/>
                <w:sz w:val="18"/>
                <w:szCs w:val="18"/>
                <w:u w:val="none"/>
              </w:rPr>
            </w:pPr>
          </w:p>
        </w:tc>
      </w:tr>
      <w:tr w14:paraId="3CE0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5195">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6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B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F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3F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C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C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A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969F">
            <w:pPr>
              <w:rPr>
                <w:rFonts w:hint="eastAsia" w:ascii="黑体" w:hAnsi="黑体" w:eastAsia="黑体" w:cs="黑体"/>
                <w:i/>
                <w:iCs/>
                <w:color w:val="000000"/>
                <w:sz w:val="18"/>
                <w:szCs w:val="18"/>
                <w:u w:val="none"/>
              </w:rPr>
            </w:pPr>
          </w:p>
        </w:tc>
      </w:tr>
      <w:tr w14:paraId="57D6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9393">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C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5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2C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8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4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1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B04E6">
            <w:pPr>
              <w:rPr>
                <w:rFonts w:hint="eastAsia" w:ascii="黑体" w:hAnsi="黑体" w:eastAsia="黑体" w:cs="黑体"/>
                <w:i/>
                <w:iCs/>
                <w:color w:val="000000"/>
                <w:sz w:val="18"/>
                <w:szCs w:val="18"/>
                <w:u w:val="none"/>
              </w:rPr>
            </w:pPr>
          </w:p>
        </w:tc>
      </w:tr>
      <w:tr w14:paraId="3B60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A85A">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8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B84B">
            <w:pPr>
              <w:jc w:val="center"/>
              <w:rPr>
                <w:rFonts w:hint="eastAsia" w:ascii="微软雅黑" w:hAnsi="微软雅黑" w:eastAsia="微软雅黑" w:cs="微软雅黑"/>
                <w:i/>
                <w:iCs/>
                <w:color w:val="000000"/>
                <w:sz w:val="16"/>
                <w:szCs w:val="16"/>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4E2B">
            <w:pPr>
              <w:jc w:val="center"/>
              <w:rPr>
                <w:rFonts w:hint="eastAsia" w:ascii="微软雅黑" w:hAnsi="微软雅黑" w:eastAsia="微软雅黑" w:cs="微软雅黑"/>
                <w:i/>
                <w:iCs/>
                <w:color w:val="000000"/>
                <w:sz w:val="16"/>
                <w:szCs w:val="16"/>
                <w:u w:val="none"/>
              </w:rPr>
            </w:pP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FE215">
            <w:pPr>
              <w:jc w:val="center"/>
              <w:rPr>
                <w:rFonts w:hint="eastAsia" w:ascii="微软雅黑" w:hAnsi="微软雅黑" w:eastAsia="微软雅黑" w:cs="微软雅黑"/>
                <w:i/>
                <w:iCs/>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B71F">
            <w:pPr>
              <w:jc w:val="center"/>
              <w:rPr>
                <w:rFonts w:hint="eastAsia" w:ascii="微软雅黑" w:hAnsi="微软雅黑" w:eastAsia="微软雅黑" w:cs="微软雅黑"/>
                <w:i/>
                <w:iCs/>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9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B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D351D">
            <w:pPr>
              <w:rPr>
                <w:rFonts w:hint="eastAsia" w:ascii="黑体" w:hAnsi="黑体" w:eastAsia="黑体" w:cs="黑体"/>
                <w:i/>
                <w:iCs/>
                <w:color w:val="000000"/>
                <w:sz w:val="18"/>
                <w:szCs w:val="18"/>
                <w:u w:val="none"/>
              </w:rPr>
            </w:pPr>
          </w:p>
        </w:tc>
      </w:tr>
      <w:tr w14:paraId="1DCD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40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6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2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F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2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8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0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4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2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C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1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09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7779">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A4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5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8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完成全年慰问任务</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8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7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4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98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D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3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9CED">
            <w:pPr>
              <w:jc w:val="center"/>
              <w:rPr>
                <w:rFonts w:hint="eastAsia" w:ascii="微软雅黑" w:hAnsi="微软雅黑" w:eastAsia="微软雅黑" w:cs="微软雅黑"/>
                <w:i/>
                <w:iCs/>
                <w:color w:val="000000"/>
                <w:sz w:val="16"/>
                <w:szCs w:val="16"/>
                <w:u w:val="none"/>
              </w:rPr>
            </w:pPr>
          </w:p>
        </w:tc>
      </w:tr>
      <w:tr w14:paraId="0561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C73E">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15C5">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3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4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慰问物品验收合格率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E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8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5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32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6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1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EFD3">
            <w:pPr>
              <w:jc w:val="center"/>
              <w:rPr>
                <w:rFonts w:hint="eastAsia" w:ascii="微软雅黑" w:hAnsi="微软雅黑" w:eastAsia="微软雅黑" w:cs="微软雅黑"/>
                <w:i/>
                <w:iCs/>
                <w:color w:val="000000"/>
                <w:sz w:val="16"/>
                <w:szCs w:val="16"/>
                <w:u w:val="none"/>
              </w:rPr>
            </w:pPr>
          </w:p>
        </w:tc>
      </w:tr>
      <w:tr w14:paraId="3341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DF571">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9120">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7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3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慰问任务完成时间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6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5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E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9B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7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3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0B5A">
            <w:pPr>
              <w:jc w:val="center"/>
              <w:rPr>
                <w:rFonts w:hint="eastAsia" w:ascii="微软雅黑" w:hAnsi="微软雅黑" w:eastAsia="微软雅黑" w:cs="微软雅黑"/>
                <w:i/>
                <w:iCs/>
                <w:color w:val="000000"/>
                <w:sz w:val="16"/>
                <w:szCs w:val="16"/>
                <w:u w:val="none"/>
              </w:rPr>
            </w:pPr>
          </w:p>
        </w:tc>
      </w:tr>
      <w:tr w14:paraId="3FA6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3561">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AB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4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7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提升慰问对象幸福感</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5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5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提升明显</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2725">
            <w:pPr>
              <w:jc w:val="center"/>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92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明显提升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7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3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DA03">
            <w:pPr>
              <w:jc w:val="center"/>
              <w:rPr>
                <w:rFonts w:hint="eastAsia" w:ascii="微软雅黑" w:hAnsi="微软雅黑" w:eastAsia="微软雅黑" w:cs="微软雅黑"/>
                <w:i/>
                <w:iCs/>
                <w:color w:val="000000"/>
                <w:sz w:val="16"/>
                <w:szCs w:val="16"/>
                <w:u w:val="none"/>
              </w:rPr>
            </w:pPr>
          </w:p>
        </w:tc>
      </w:tr>
      <w:tr w14:paraId="1932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67E1E">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D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6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1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慰问对象满意度</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3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F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3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F1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1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1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FBE7">
            <w:pPr>
              <w:jc w:val="center"/>
              <w:rPr>
                <w:rFonts w:hint="eastAsia" w:ascii="微软雅黑" w:hAnsi="微软雅黑" w:eastAsia="微软雅黑" w:cs="微软雅黑"/>
                <w:i/>
                <w:iCs/>
                <w:color w:val="000000"/>
                <w:sz w:val="16"/>
                <w:szCs w:val="16"/>
                <w:u w:val="none"/>
              </w:rPr>
            </w:pPr>
          </w:p>
        </w:tc>
      </w:tr>
      <w:tr w14:paraId="4348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793DF">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3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7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B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B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A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5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D5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642.2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3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E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0EA8">
            <w:pPr>
              <w:jc w:val="center"/>
              <w:rPr>
                <w:rFonts w:hint="eastAsia" w:ascii="微软雅黑" w:hAnsi="微软雅黑" w:eastAsia="微软雅黑" w:cs="微软雅黑"/>
                <w:i/>
                <w:iCs/>
                <w:color w:val="000000"/>
                <w:sz w:val="16"/>
                <w:szCs w:val="16"/>
                <w:u w:val="none"/>
              </w:rPr>
            </w:pPr>
          </w:p>
        </w:tc>
      </w:tr>
      <w:tr w14:paraId="3ECA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112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9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C3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981C">
            <w:pPr>
              <w:rPr>
                <w:rFonts w:hint="eastAsia" w:ascii="宋体" w:hAnsi="宋体" w:eastAsia="宋体" w:cs="宋体"/>
                <w:i w:val="0"/>
                <w:iCs w:val="0"/>
                <w:color w:val="000000"/>
                <w:sz w:val="18"/>
                <w:szCs w:val="18"/>
                <w:u w:val="none"/>
              </w:rPr>
            </w:pPr>
          </w:p>
        </w:tc>
      </w:tr>
      <w:tr w14:paraId="06CB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F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9D6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自评总分99.57分，在春节、八一期间走访慰问驻川部队官兵，为他们送去省委省政府对他们的关心厚爱，幸福感、满意度不断提升。</w:t>
            </w:r>
          </w:p>
        </w:tc>
      </w:tr>
      <w:tr w14:paraId="25AE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0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9B0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慰问品种类不能满足所有官兵的需求。原因：官兵需求多样化，导致每个人对慰问品种类当下的现实需求不一致。</w:t>
            </w:r>
          </w:p>
        </w:tc>
      </w:tr>
      <w:tr w14:paraId="2D3E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A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4F9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每年慰问品采购前，广泛征求驻川部队官兵对慰问品物资采购的意见建议，力争满足大部分官兵对慰问品的现实需求。</w:t>
            </w:r>
          </w:p>
        </w:tc>
      </w:tr>
      <w:tr w14:paraId="680B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A1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597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财务负责人：</w:t>
            </w:r>
          </w:p>
        </w:tc>
      </w:tr>
      <w:tr w14:paraId="15C4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nil"/>
              <w:left w:val="nil"/>
              <w:bottom w:val="nil"/>
              <w:right w:val="nil"/>
            </w:tcBorders>
            <w:shd w:val="clear" w:color="auto" w:fill="auto"/>
            <w:vAlign w:val="center"/>
          </w:tcPr>
          <w:p w14:paraId="7DF94F5F">
            <w:pPr>
              <w:rPr>
                <w:rFonts w:hint="eastAsia" w:ascii="宋体" w:hAnsi="宋体" w:eastAsia="宋体" w:cs="宋体"/>
                <w:i w:val="0"/>
                <w:iCs w:val="0"/>
                <w:color w:val="000000"/>
                <w:sz w:val="18"/>
                <w:szCs w:val="18"/>
                <w:u w:val="none"/>
              </w:rPr>
            </w:pPr>
          </w:p>
        </w:tc>
        <w:tc>
          <w:tcPr>
            <w:tcW w:w="552" w:type="pct"/>
            <w:tcBorders>
              <w:top w:val="nil"/>
              <w:left w:val="nil"/>
              <w:bottom w:val="nil"/>
              <w:right w:val="nil"/>
            </w:tcBorders>
            <w:shd w:val="clear" w:color="auto" w:fill="auto"/>
            <w:vAlign w:val="center"/>
          </w:tcPr>
          <w:p w14:paraId="325213EC">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5AD5D3DA">
            <w:pPr>
              <w:rPr>
                <w:rFonts w:hint="eastAsia" w:ascii="宋体" w:hAnsi="宋体" w:eastAsia="宋体" w:cs="宋体"/>
                <w:i w:val="0"/>
                <w:iCs w:val="0"/>
                <w:color w:val="000000"/>
                <w:sz w:val="18"/>
                <w:szCs w:val="18"/>
                <w:u w:val="none"/>
              </w:rPr>
            </w:pPr>
          </w:p>
        </w:tc>
        <w:tc>
          <w:tcPr>
            <w:tcW w:w="501" w:type="pct"/>
            <w:tcBorders>
              <w:top w:val="nil"/>
              <w:left w:val="nil"/>
              <w:bottom w:val="nil"/>
              <w:right w:val="nil"/>
            </w:tcBorders>
            <w:shd w:val="clear" w:color="auto" w:fill="auto"/>
            <w:vAlign w:val="center"/>
          </w:tcPr>
          <w:p w14:paraId="524C83EA">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14:paraId="79480DC8">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406021C2">
            <w:pPr>
              <w:rPr>
                <w:rFonts w:hint="eastAsia" w:ascii="宋体" w:hAnsi="宋体" w:eastAsia="宋体" w:cs="宋体"/>
                <w:i w:val="0"/>
                <w:iCs w:val="0"/>
                <w:color w:val="000000"/>
                <w:sz w:val="18"/>
                <w:szCs w:val="18"/>
                <w:u w:val="none"/>
              </w:rPr>
            </w:pPr>
          </w:p>
        </w:tc>
        <w:tc>
          <w:tcPr>
            <w:tcW w:w="360" w:type="pct"/>
            <w:tcBorders>
              <w:top w:val="nil"/>
              <w:left w:val="nil"/>
              <w:bottom w:val="nil"/>
              <w:right w:val="nil"/>
            </w:tcBorders>
            <w:shd w:val="clear" w:color="auto" w:fill="auto"/>
            <w:vAlign w:val="center"/>
          </w:tcPr>
          <w:p w14:paraId="76349411">
            <w:pPr>
              <w:rPr>
                <w:rFonts w:hint="eastAsia" w:ascii="宋体" w:hAnsi="宋体" w:eastAsia="宋体" w:cs="宋体"/>
                <w:i w:val="0"/>
                <w:iCs w:val="0"/>
                <w:color w:val="000000"/>
                <w:sz w:val="18"/>
                <w:szCs w:val="18"/>
                <w:u w:val="none"/>
              </w:rPr>
            </w:pPr>
          </w:p>
        </w:tc>
        <w:tc>
          <w:tcPr>
            <w:tcW w:w="445" w:type="pct"/>
            <w:tcBorders>
              <w:top w:val="nil"/>
              <w:left w:val="nil"/>
              <w:bottom w:val="nil"/>
              <w:right w:val="nil"/>
            </w:tcBorders>
            <w:shd w:val="clear" w:color="auto" w:fill="auto"/>
            <w:vAlign w:val="center"/>
          </w:tcPr>
          <w:p w14:paraId="547723D0">
            <w:pPr>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3BB9782E">
            <w:pPr>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60617C97">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5D762E66">
            <w:pPr>
              <w:rPr>
                <w:rFonts w:hint="eastAsia" w:ascii="宋体" w:hAnsi="宋体" w:eastAsia="宋体" w:cs="宋体"/>
                <w:i w:val="0"/>
                <w:iCs w:val="0"/>
                <w:color w:val="000000"/>
                <w:sz w:val="18"/>
                <w:szCs w:val="18"/>
                <w:u w:val="none"/>
              </w:rPr>
            </w:pPr>
          </w:p>
        </w:tc>
      </w:tr>
      <w:tr w14:paraId="2EAF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nil"/>
              <w:left w:val="nil"/>
              <w:bottom w:val="nil"/>
              <w:right w:val="nil"/>
            </w:tcBorders>
            <w:shd w:val="clear" w:color="auto" w:fill="auto"/>
            <w:noWrap/>
            <w:vAlign w:val="center"/>
          </w:tcPr>
          <w:p w14:paraId="28474DF1">
            <w:pPr>
              <w:rPr>
                <w:rFonts w:hint="eastAsia" w:ascii="宋体" w:hAnsi="宋体" w:eastAsia="宋体" w:cs="宋体"/>
                <w:i w:val="0"/>
                <w:iCs w:val="0"/>
                <w:color w:val="000000"/>
                <w:sz w:val="22"/>
                <w:szCs w:val="22"/>
                <w:u w:val="none"/>
              </w:rPr>
            </w:pPr>
          </w:p>
        </w:tc>
        <w:tc>
          <w:tcPr>
            <w:tcW w:w="552" w:type="pct"/>
            <w:tcBorders>
              <w:top w:val="nil"/>
              <w:left w:val="nil"/>
              <w:bottom w:val="nil"/>
              <w:right w:val="nil"/>
            </w:tcBorders>
            <w:shd w:val="clear" w:color="auto" w:fill="auto"/>
            <w:noWrap/>
            <w:vAlign w:val="center"/>
          </w:tcPr>
          <w:p w14:paraId="68D314C5">
            <w:pPr>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14:paraId="7D8974F6">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shd w:val="clear" w:color="auto" w:fill="auto"/>
            <w:noWrap/>
            <w:vAlign w:val="center"/>
          </w:tcPr>
          <w:p w14:paraId="696E18A2">
            <w:pPr>
              <w:rPr>
                <w:rFonts w:hint="eastAsia" w:ascii="宋体" w:hAnsi="宋体" w:eastAsia="宋体" w:cs="宋体"/>
                <w:i w:val="0"/>
                <w:iCs w:val="0"/>
                <w:color w:val="000000"/>
                <w:sz w:val="22"/>
                <w:szCs w:val="22"/>
                <w:u w:val="none"/>
              </w:rPr>
            </w:pPr>
          </w:p>
        </w:tc>
        <w:tc>
          <w:tcPr>
            <w:tcW w:w="415" w:type="pct"/>
            <w:tcBorders>
              <w:top w:val="nil"/>
              <w:left w:val="nil"/>
              <w:bottom w:val="nil"/>
              <w:right w:val="nil"/>
            </w:tcBorders>
            <w:shd w:val="clear" w:color="auto" w:fill="auto"/>
            <w:noWrap/>
            <w:vAlign w:val="center"/>
          </w:tcPr>
          <w:p w14:paraId="6F865BB9">
            <w:pPr>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14:paraId="035DC107">
            <w:pPr>
              <w:rPr>
                <w:rFonts w:hint="eastAsia" w:ascii="宋体" w:hAnsi="宋体" w:eastAsia="宋体" w:cs="宋体"/>
                <w:i w:val="0"/>
                <w:iCs w:val="0"/>
                <w:color w:val="000000"/>
                <w:sz w:val="22"/>
                <w:szCs w:val="22"/>
                <w:u w:val="none"/>
              </w:rPr>
            </w:pPr>
          </w:p>
        </w:tc>
        <w:tc>
          <w:tcPr>
            <w:tcW w:w="360" w:type="pct"/>
            <w:tcBorders>
              <w:top w:val="nil"/>
              <w:left w:val="nil"/>
              <w:bottom w:val="nil"/>
              <w:right w:val="nil"/>
            </w:tcBorders>
            <w:shd w:val="clear" w:color="auto" w:fill="auto"/>
            <w:noWrap/>
            <w:vAlign w:val="center"/>
          </w:tcPr>
          <w:p w14:paraId="43D5101B">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14:paraId="50BAD0EA">
            <w:pPr>
              <w:rPr>
                <w:rFonts w:hint="eastAsia" w:ascii="宋体" w:hAnsi="宋体" w:eastAsia="宋体" w:cs="宋体"/>
                <w:i w:val="0"/>
                <w:iCs w:val="0"/>
                <w:color w:val="000000"/>
                <w:sz w:val="22"/>
                <w:szCs w:val="22"/>
                <w:u w:val="none"/>
              </w:rPr>
            </w:pPr>
          </w:p>
        </w:tc>
        <w:tc>
          <w:tcPr>
            <w:tcW w:w="413" w:type="pct"/>
            <w:tcBorders>
              <w:top w:val="nil"/>
              <w:left w:val="nil"/>
              <w:bottom w:val="nil"/>
              <w:right w:val="nil"/>
            </w:tcBorders>
            <w:shd w:val="clear" w:color="auto" w:fill="auto"/>
            <w:noWrap/>
            <w:vAlign w:val="center"/>
          </w:tcPr>
          <w:p w14:paraId="277CA7AE">
            <w:pPr>
              <w:rPr>
                <w:rFonts w:hint="eastAsia" w:ascii="宋体" w:hAnsi="宋体" w:eastAsia="宋体" w:cs="宋体"/>
                <w:i w:val="0"/>
                <w:iCs w:val="0"/>
                <w:color w:val="000000"/>
                <w:sz w:val="22"/>
                <w:szCs w:val="22"/>
                <w:u w:val="none"/>
              </w:rPr>
            </w:pPr>
          </w:p>
        </w:tc>
        <w:tc>
          <w:tcPr>
            <w:tcW w:w="413" w:type="pct"/>
            <w:tcBorders>
              <w:top w:val="nil"/>
              <w:left w:val="nil"/>
              <w:bottom w:val="nil"/>
              <w:right w:val="nil"/>
            </w:tcBorders>
            <w:shd w:val="clear" w:color="auto" w:fill="auto"/>
            <w:noWrap/>
            <w:vAlign w:val="center"/>
          </w:tcPr>
          <w:p w14:paraId="451D6208">
            <w:pPr>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14:paraId="20ECDBD1">
            <w:pPr>
              <w:rPr>
                <w:rFonts w:hint="eastAsia" w:ascii="宋体" w:hAnsi="宋体" w:eastAsia="宋体" w:cs="宋体"/>
                <w:i w:val="0"/>
                <w:iCs w:val="0"/>
                <w:color w:val="000000"/>
                <w:sz w:val="22"/>
                <w:szCs w:val="22"/>
                <w:u w:val="none"/>
              </w:rPr>
            </w:pPr>
          </w:p>
        </w:tc>
      </w:tr>
      <w:tr w14:paraId="7ECE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507CD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6F6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8D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20A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51000022T000004933816-就业创业补助资金</w:t>
            </w:r>
          </w:p>
        </w:tc>
      </w:tr>
      <w:tr w14:paraId="645F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0A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C29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445" w:type="pct"/>
            <w:tcBorders>
              <w:top w:val="nil"/>
              <w:left w:val="nil"/>
              <w:bottom w:val="nil"/>
              <w:right w:val="nil"/>
            </w:tcBorders>
            <w:shd w:val="clear" w:color="auto" w:fill="auto"/>
            <w:vAlign w:val="center"/>
          </w:tcPr>
          <w:p w14:paraId="2DE9E7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2F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14:paraId="04E6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6EF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422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6E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417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EF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58AD">
            <w:pP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80A1">
            <w:pPr>
              <w:rPr>
                <w:rFonts w:hint="eastAsia" w:ascii="宋体" w:hAnsi="宋体" w:eastAsia="宋体" w:cs="宋体"/>
                <w:i w:val="0"/>
                <w:iCs w:val="0"/>
                <w:color w:val="000000"/>
                <w:sz w:val="18"/>
                <w:szCs w:val="18"/>
                <w:u w:val="none"/>
              </w:rPr>
            </w:pP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971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我厅2023年投入198万元，开展退役军人创业创新大赛、退役军人就业创业系列示范培训、退役军人招聘活动等项目，促进退役军人就业创业。</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281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相关任务目标已全部完成</w:t>
            </w:r>
          </w:p>
        </w:tc>
      </w:tr>
      <w:tr w14:paraId="5CE8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8428">
            <w:pP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66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D71A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以“退役不褪色，投身四川现代化建设”为主题的第三届全省退役军人创业创新大赛、开展“四川省退役军人创业带头人助力乡村振兴示范培训班”“四川省农村退役军人致富带头人产业发展培训班”等、全省联动开展退役军人及军属招聘活动等，进一步促进退役军人就业创业。</w:t>
            </w:r>
          </w:p>
        </w:tc>
      </w:tr>
      <w:tr w14:paraId="0D44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A3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A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E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C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0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8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2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8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C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86D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9900">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B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4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C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365.84</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91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5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7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2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71859">
            <w:pPr>
              <w:rPr>
                <w:rFonts w:hint="eastAsia" w:ascii="黑体" w:hAnsi="黑体" w:eastAsia="黑体" w:cs="黑体"/>
                <w:i/>
                <w:iCs/>
                <w:color w:val="000000"/>
                <w:sz w:val="18"/>
                <w:szCs w:val="18"/>
                <w:u w:val="none"/>
              </w:rPr>
            </w:pPr>
          </w:p>
        </w:tc>
      </w:tr>
      <w:tr w14:paraId="1848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80767">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7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8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9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365.84</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09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1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5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C0C7">
            <w:pPr>
              <w:rPr>
                <w:rFonts w:hint="eastAsia" w:ascii="黑体" w:hAnsi="黑体" w:eastAsia="黑体" w:cs="黑体"/>
                <w:i/>
                <w:iCs/>
                <w:color w:val="000000"/>
                <w:sz w:val="18"/>
                <w:szCs w:val="18"/>
                <w:u w:val="none"/>
              </w:rPr>
            </w:pPr>
          </w:p>
        </w:tc>
      </w:tr>
      <w:tr w14:paraId="2FBA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54AEC">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E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2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5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06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0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8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0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542E4">
            <w:pPr>
              <w:rPr>
                <w:rFonts w:hint="eastAsia" w:ascii="黑体" w:hAnsi="黑体" w:eastAsia="黑体" w:cs="黑体"/>
                <w:i/>
                <w:iCs/>
                <w:color w:val="000000"/>
                <w:sz w:val="18"/>
                <w:szCs w:val="18"/>
                <w:u w:val="none"/>
              </w:rPr>
            </w:pPr>
          </w:p>
        </w:tc>
      </w:tr>
      <w:tr w14:paraId="5A86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C2CF">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C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4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6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ED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7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A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9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1C0E1">
            <w:pPr>
              <w:rPr>
                <w:rFonts w:hint="eastAsia" w:ascii="黑体" w:hAnsi="黑体" w:eastAsia="黑体" w:cs="黑体"/>
                <w:i/>
                <w:iCs/>
                <w:color w:val="000000"/>
                <w:sz w:val="18"/>
                <w:szCs w:val="18"/>
                <w:u w:val="none"/>
              </w:rPr>
            </w:pPr>
          </w:p>
        </w:tc>
      </w:tr>
      <w:tr w14:paraId="2262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9CD86">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E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0A2E">
            <w:pPr>
              <w:jc w:val="center"/>
              <w:rPr>
                <w:rFonts w:hint="eastAsia" w:ascii="微软雅黑" w:hAnsi="微软雅黑" w:eastAsia="微软雅黑" w:cs="微软雅黑"/>
                <w:i/>
                <w:iCs/>
                <w:color w:val="000000"/>
                <w:sz w:val="16"/>
                <w:szCs w:val="16"/>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E2D8">
            <w:pPr>
              <w:jc w:val="center"/>
              <w:rPr>
                <w:rFonts w:hint="eastAsia" w:ascii="微软雅黑" w:hAnsi="微软雅黑" w:eastAsia="微软雅黑" w:cs="微软雅黑"/>
                <w:i/>
                <w:iCs/>
                <w:color w:val="000000"/>
                <w:sz w:val="16"/>
                <w:szCs w:val="16"/>
                <w:u w:val="none"/>
              </w:rPr>
            </w:pP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24FC8">
            <w:pPr>
              <w:jc w:val="center"/>
              <w:rPr>
                <w:rFonts w:hint="eastAsia" w:ascii="微软雅黑" w:hAnsi="微软雅黑" w:eastAsia="微软雅黑" w:cs="微软雅黑"/>
                <w:i/>
                <w:iCs/>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E8A1">
            <w:pPr>
              <w:jc w:val="center"/>
              <w:rPr>
                <w:rFonts w:hint="eastAsia" w:ascii="微软雅黑" w:hAnsi="微软雅黑" w:eastAsia="微软雅黑" w:cs="微软雅黑"/>
                <w:i/>
                <w:iCs/>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C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8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E4EE">
            <w:pPr>
              <w:rPr>
                <w:rFonts w:hint="eastAsia" w:ascii="黑体" w:hAnsi="黑体" w:eastAsia="黑体" w:cs="黑体"/>
                <w:i/>
                <w:iCs/>
                <w:color w:val="000000"/>
                <w:sz w:val="18"/>
                <w:szCs w:val="18"/>
                <w:u w:val="none"/>
              </w:rPr>
            </w:pPr>
          </w:p>
        </w:tc>
      </w:tr>
      <w:tr w14:paraId="59DF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50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F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3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A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E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6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B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D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9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9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6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BA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4EF76">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35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F2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9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参加示范培训人数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F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0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19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F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F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F2BE">
            <w:pPr>
              <w:jc w:val="center"/>
              <w:rPr>
                <w:rFonts w:hint="eastAsia" w:ascii="微软雅黑" w:hAnsi="微软雅黑" w:eastAsia="微软雅黑" w:cs="微软雅黑"/>
                <w:i/>
                <w:iCs/>
                <w:color w:val="000000"/>
                <w:sz w:val="16"/>
                <w:szCs w:val="16"/>
                <w:u w:val="none"/>
              </w:rPr>
            </w:pPr>
          </w:p>
        </w:tc>
      </w:tr>
      <w:tr w14:paraId="4F55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F509">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F643">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E8D1">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3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组织招聘企业</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8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C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4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30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0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4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97E7">
            <w:pPr>
              <w:jc w:val="center"/>
              <w:rPr>
                <w:rFonts w:hint="eastAsia" w:ascii="微软雅黑" w:hAnsi="微软雅黑" w:eastAsia="微软雅黑" w:cs="微软雅黑"/>
                <w:i/>
                <w:iCs/>
                <w:color w:val="000000"/>
                <w:sz w:val="16"/>
                <w:szCs w:val="16"/>
                <w:u w:val="none"/>
              </w:rPr>
            </w:pPr>
          </w:p>
        </w:tc>
      </w:tr>
      <w:tr w14:paraId="10EC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EB8E">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8408">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1FC4">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6E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参加退役军人创业大赛的企业数量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F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B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5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3C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E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1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2361">
            <w:pPr>
              <w:jc w:val="center"/>
              <w:rPr>
                <w:rFonts w:hint="eastAsia" w:ascii="微软雅黑" w:hAnsi="微软雅黑" w:eastAsia="微软雅黑" w:cs="微软雅黑"/>
                <w:i/>
                <w:iCs/>
                <w:color w:val="000000"/>
                <w:sz w:val="16"/>
                <w:szCs w:val="16"/>
                <w:u w:val="none"/>
              </w:rPr>
            </w:pPr>
          </w:p>
        </w:tc>
      </w:tr>
      <w:tr w14:paraId="172B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F535F">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2703">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E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8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C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C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8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6D8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第三届全省退役军人创业创新大赛、四川省退役军人创业带头人助力乡村振兴示范培训班、四川省农村退役军人致富带头人产业发展培训班均已按期完成。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A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7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2745">
            <w:pPr>
              <w:jc w:val="center"/>
              <w:rPr>
                <w:rFonts w:hint="eastAsia" w:ascii="微软雅黑" w:hAnsi="微软雅黑" w:eastAsia="微软雅黑" w:cs="微软雅黑"/>
                <w:i/>
                <w:iCs/>
                <w:color w:val="000000"/>
                <w:sz w:val="16"/>
                <w:szCs w:val="16"/>
                <w:u w:val="none"/>
              </w:rPr>
            </w:pPr>
          </w:p>
        </w:tc>
      </w:tr>
      <w:tr w14:paraId="2E3E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75A6">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E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E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A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退役军人创业就业可持续影响</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6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8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C18D">
            <w:pPr>
              <w:jc w:val="center"/>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505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长期</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8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4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5A57">
            <w:pPr>
              <w:jc w:val="center"/>
              <w:rPr>
                <w:rFonts w:hint="eastAsia" w:ascii="微软雅黑" w:hAnsi="微软雅黑" w:eastAsia="微软雅黑" w:cs="微软雅黑"/>
                <w:i/>
                <w:iCs/>
                <w:color w:val="000000"/>
                <w:sz w:val="16"/>
                <w:szCs w:val="16"/>
                <w:u w:val="none"/>
              </w:rPr>
            </w:pPr>
          </w:p>
        </w:tc>
      </w:tr>
      <w:tr w14:paraId="4FB1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6B77">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F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0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4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参训人员满意度</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C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7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9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C6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B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9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CC71">
            <w:pPr>
              <w:jc w:val="center"/>
              <w:rPr>
                <w:rFonts w:hint="eastAsia" w:ascii="微软雅黑" w:hAnsi="微软雅黑" w:eastAsia="微软雅黑" w:cs="微软雅黑"/>
                <w:i/>
                <w:iCs/>
                <w:color w:val="000000"/>
                <w:sz w:val="16"/>
                <w:szCs w:val="16"/>
                <w:u w:val="none"/>
              </w:rPr>
            </w:pPr>
          </w:p>
        </w:tc>
      </w:tr>
      <w:tr w14:paraId="281E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8E4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0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572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99.28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B6E2">
            <w:pPr>
              <w:rPr>
                <w:rFonts w:hint="eastAsia" w:ascii="宋体" w:hAnsi="宋体" w:eastAsia="宋体" w:cs="宋体"/>
                <w:i w:val="0"/>
                <w:iCs w:val="0"/>
                <w:color w:val="000000"/>
                <w:sz w:val="18"/>
                <w:szCs w:val="18"/>
                <w:u w:val="none"/>
              </w:rPr>
            </w:pPr>
          </w:p>
        </w:tc>
      </w:tr>
      <w:tr w14:paraId="0FBD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7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444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自评得分99.28分，预期目标圆满完成。</w:t>
            </w:r>
          </w:p>
        </w:tc>
      </w:tr>
      <w:tr w14:paraId="0B08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E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D1A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32CE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5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7F8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030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CC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5FA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财务负责人：</w:t>
            </w:r>
          </w:p>
        </w:tc>
      </w:tr>
      <w:tr w14:paraId="5943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727A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68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35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AD9F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51000023T000007541503-四川省退役军人事务厅办公楼（二、三层）维修改造项目</w:t>
            </w:r>
          </w:p>
        </w:tc>
      </w:tr>
      <w:tr w14:paraId="2FB6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39B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34A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445" w:type="pct"/>
            <w:tcBorders>
              <w:top w:val="nil"/>
              <w:left w:val="nil"/>
              <w:bottom w:val="nil"/>
              <w:right w:val="nil"/>
            </w:tcBorders>
            <w:shd w:val="clear" w:color="auto" w:fill="auto"/>
            <w:vAlign w:val="center"/>
          </w:tcPr>
          <w:p w14:paraId="26F0B5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70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14:paraId="3E2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C20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F90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0E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8A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14:paraId="24A1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42AB">
            <w:pP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AE036">
            <w:pPr>
              <w:rPr>
                <w:rFonts w:hint="eastAsia" w:ascii="宋体" w:hAnsi="宋体" w:eastAsia="宋体" w:cs="宋体"/>
                <w:i w:val="0"/>
                <w:iCs w:val="0"/>
                <w:color w:val="000000"/>
                <w:sz w:val="18"/>
                <w:szCs w:val="18"/>
                <w:u w:val="none"/>
              </w:rPr>
            </w:pP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09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完成厅办公楼二、三楼室内装修，给排水、暖通以及消防改造。</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76D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已完成厅办公楼二、三楼室内装修，给排水、暖通以及消防改造。</w:t>
            </w:r>
          </w:p>
        </w:tc>
      </w:tr>
      <w:tr w14:paraId="247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EE04">
            <w:pP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8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2392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监理、设计、造价、造价评审属于分散采购项目，委托社会代理机构组织采购。施工属于集采项目，由省政府采购中心组织实施采购程序，采购方式是竞争性磋商，成交供应商是四川大得顺建设项目管理有限公司，成交金额199.9万元。</w:t>
            </w:r>
          </w:p>
        </w:tc>
      </w:tr>
      <w:tr w14:paraId="5B5D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8B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6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E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1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81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6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0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8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1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952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48A8">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B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7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8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61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D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A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9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31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预算执行率未达到90%的原因是项目竣工结算后，审定造价190.16万元，审核审减9.67万元。</w:t>
            </w:r>
          </w:p>
        </w:tc>
      </w:tr>
      <w:tr w14:paraId="15BE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92FE">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D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F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0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98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B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8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1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44AF">
            <w:pPr>
              <w:rPr>
                <w:rFonts w:hint="eastAsia" w:ascii="宋体" w:hAnsi="宋体" w:eastAsia="宋体" w:cs="宋体"/>
                <w:i w:val="0"/>
                <w:iCs w:val="0"/>
                <w:color w:val="000000"/>
                <w:sz w:val="18"/>
                <w:szCs w:val="18"/>
                <w:u w:val="none"/>
              </w:rPr>
            </w:pPr>
          </w:p>
        </w:tc>
      </w:tr>
      <w:tr w14:paraId="42A9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0312">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D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A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E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EB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2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0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D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80DB">
            <w:pPr>
              <w:rPr>
                <w:rFonts w:hint="eastAsia" w:ascii="宋体" w:hAnsi="宋体" w:eastAsia="宋体" w:cs="宋体"/>
                <w:i w:val="0"/>
                <w:iCs w:val="0"/>
                <w:color w:val="000000"/>
                <w:sz w:val="18"/>
                <w:szCs w:val="18"/>
                <w:u w:val="none"/>
              </w:rPr>
            </w:pPr>
          </w:p>
        </w:tc>
      </w:tr>
      <w:tr w14:paraId="3899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2AFB">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0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5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F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58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6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1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7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518C">
            <w:pPr>
              <w:rPr>
                <w:rFonts w:hint="eastAsia" w:ascii="宋体" w:hAnsi="宋体" w:eastAsia="宋体" w:cs="宋体"/>
                <w:i w:val="0"/>
                <w:iCs w:val="0"/>
                <w:color w:val="000000"/>
                <w:sz w:val="18"/>
                <w:szCs w:val="18"/>
                <w:u w:val="none"/>
              </w:rPr>
            </w:pPr>
          </w:p>
        </w:tc>
      </w:tr>
      <w:tr w14:paraId="295D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8068">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A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4183">
            <w:pPr>
              <w:jc w:val="center"/>
              <w:rPr>
                <w:rFonts w:hint="eastAsia" w:ascii="微软雅黑" w:hAnsi="微软雅黑" w:eastAsia="微软雅黑" w:cs="微软雅黑"/>
                <w:i/>
                <w:iCs/>
                <w:color w:val="000000"/>
                <w:sz w:val="16"/>
                <w:szCs w:val="16"/>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505B">
            <w:pPr>
              <w:jc w:val="center"/>
              <w:rPr>
                <w:rFonts w:hint="eastAsia" w:ascii="微软雅黑" w:hAnsi="微软雅黑" w:eastAsia="微软雅黑" w:cs="微软雅黑"/>
                <w:i/>
                <w:iCs/>
                <w:color w:val="000000"/>
                <w:sz w:val="16"/>
                <w:szCs w:val="16"/>
                <w:u w:val="none"/>
              </w:rPr>
            </w:pP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55F50">
            <w:pPr>
              <w:jc w:val="center"/>
              <w:rPr>
                <w:rFonts w:hint="eastAsia" w:ascii="微软雅黑" w:hAnsi="微软雅黑" w:eastAsia="微软雅黑" w:cs="微软雅黑"/>
                <w:i/>
                <w:iCs/>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431E">
            <w:pPr>
              <w:jc w:val="center"/>
              <w:rPr>
                <w:rFonts w:hint="eastAsia" w:ascii="微软雅黑" w:hAnsi="微软雅黑" w:eastAsia="微软雅黑" w:cs="微软雅黑"/>
                <w:i/>
                <w:iCs/>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4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B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BA0E">
            <w:pPr>
              <w:rPr>
                <w:rFonts w:hint="eastAsia" w:ascii="宋体" w:hAnsi="宋体" w:eastAsia="宋体" w:cs="宋体"/>
                <w:i w:val="0"/>
                <w:iCs w:val="0"/>
                <w:color w:val="000000"/>
                <w:sz w:val="18"/>
                <w:szCs w:val="18"/>
                <w:u w:val="none"/>
              </w:rPr>
            </w:pPr>
          </w:p>
        </w:tc>
      </w:tr>
      <w:tr w14:paraId="6FE6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EA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3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6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A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6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E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E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0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0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2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A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F6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F659">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DC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3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完成办公用房室内装修、给排水、暖通及消防改造</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1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A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D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5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0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D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FF1D">
            <w:pPr>
              <w:jc w:val="center"/>
              <w:rPr>
                <w:rFonts w:hint="eastAsia" w:ascii="微软雅黑" w:hAnsi="微软雅黑" w:eastAsia="微软雅黑" w:cs="微软雅黑"/>
                <w:i/>
                <w:iCs/>
                <w:color w:val="000000"/>
                <w:sz w:val="16"/>
                <w:szCs w:val="16"/>
                <w:u w:val="none"/>
              </w:rPr>
            </w:pPr>
          </w:p>
        </w:tc>
      </w:tr>
      <w:tr w14:paraId="5B07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5C3E">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378C">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3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9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B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1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8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8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C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A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487B">
            <w:pPr>
              <w:jc w:val="center"/>
              <w:rPr>
                <w:rFonts w:hint="eastAsia" w:ascii="微软雅黑" w:hAnsi="微软雅黑" w:eastAsia="微软雅黑" w:cs="微软雅黑"/>
                <w:i/>
                <w:iCs/>
                <w:color w:val="000000"/>
                <w:sz w:val="16"/>
                <w:szCs w:val="16"/>
                <w:u w:val="none"/>
              </w:rPr>
            </w:pPr>
          </w:p>
        </w:tc>
      </w:tr>
      <w:tr w14:paraId="5B22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9C84">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7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D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2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改善办公条件，提升职工的工作效率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8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D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4CA7">
            <w:pPr>
              <w:jc w:val="center"/>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3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较好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7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E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6589">
            <w:pPr>
              <w:jc w:val="center"/>
              <w:rPr>
                <w:rFonts w:hint="eastAsia" w:ascii="微软雅黑" w:hAnsi="微软雅黑" w:eastAsia="微软雅黑" w:cs="微软雅黑"/>
                <w:i/>
                <w:iCs/>
                <w:color w:val="000000"/>
                <w:sz w:val="16"/>
                <w:szCs w:val="16"/>
                <w:u w:val="none"/>
              </w:rPr>
            </w:pPr>
          </w:p>
        </w:tc>
      </w:tr>
      <w:tr w14:paraId="2C32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497BF">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0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A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D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机关工作人员满意度</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8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7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2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B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3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6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790C">
            <w:pPr>
              <w:jc w:val="center"/>
              <w:rPr>
                <w:rFonts w:hint="eastAsia" w:ascii="微软雅黑" w:hAnsi="微软雅黑" w:eastAsia="微软雅黑" w:cs="微软雅黑"/>
                <w:i/>
                <w:iCs/>
                <w:color w:val="000000"/>
                <w:sz w:val="16"/>
                <w:szCs w:val="16"/>
                <w:u w:val="none"/>
              </w:rPr>
            </w:pPr>
          </w:p>
        </w:tc>
      </w:tr>
      <w:tr w14:paraId="2644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C633">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D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8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B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二、三楼维修改造成本控制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4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3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F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6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197.84</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7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1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E3C8">
            <w:pPr>
              <w:jc w:val="center"/>
              <w:rPr>
                <w:rFonts w:hint="eastAsia" w:ascii="微软雅黑" w:hAnsi="微软雅黑" w:eastAsia="微软雅黑" w:cs="微软雅黑"/>
                <w:i/>
                <w:iCs/>
                <w:color w:val="000000"/>
                <w:sz w:val="16"/>
                <w:szCs w:val="16"/>
                <w:u w:val="none"/>
              </w:rPr>
            </w:pPr>
          </w:p>
        </w:tc>
      </w:tr>
      <w:tr w14:paraId="0AEE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22B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E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DB0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CD5E">
            <w:pPr>
              <w:rPr>
                <w:rFonts w:hint="eastAsia" w:ascii="宋体" w:hAnsi="宋体" w:eastAsia="宋体" w:cs="宋体"/>
                <w:i w:val="0"/>
                <w:iCs w:val="0"/>
                <w:color w:val="000000"/>
                <w:sz w:val="18"/>
                <w:szCs w:val="18"/>
                <w:u w:val="none"/>
              </w:rPr>
            </w:pPr>
          </w:p>
        </w:tc>
      </w:tr>
      <w:tr w14:paraId="4202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4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74D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项自评总分98.88分。该工程按时按量按质完成，工程质量合格，满足办公要求。</w:t>
            </w:r>
          </w:p>
        </w:tc>
      </w:tr>
      <w:tr w14:paraId="5986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3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D43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由于埋管方式等因素，卫生间冲水器冲水力度不足。</w:t>
            </w:r>
          </w:p>
        </w:tc>
      </w:tr>
      <w:tr w14:paraId="528D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E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333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针对项目自评中发现的问题，提出下一步改进完善的意见及有关政策性建议。（200字以内）加强技术调研，采用合理在技术与方式，增强冲水器的力度，后期加强卫生管理。</w:t>
            </w:r>
          </w:p>
        </w:tc>
      </w:tr>
      <w:tr w14:paraId="025C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F2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EBB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财务负责人：</w:t>
            </w:r>
          </w:p>
        </w:tc>
      </w:tr>
      <w:tr w14:paraId="337F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nil"/>
              <w:left w:val="nil"/>
              <w:bottom w:val="nil"/>
              <w:right w:val="nil"/>
            </w:tcBorders>
            <w:shd w:val="clear" w:color="auto" w:fill="auto"/>
            <w:vAlign w:val="center"/>
          </w:tcPr>
          <w:p w14:paraId="7FC490D3">
            <w:pPr>
              <w:rPr>
                <w:rFonts w:hint="eastAsia" w:ascii="宋体" w:hAnsi="宋体" w:eastAsia="宋体" w:cs="宋体"/>
                <w:i w:val="0"/>
                <w:iCs w:val="0"/>
                <w:color w:val="000000"/>
                <w:sz w:val="18"/>
                <w:szCs w:val="18"/>
                <w:u w:val="none"/>
              </w:rPr>
            </w:pPr>
          </w:p>
        </w:tc>
        <w:tc>
          <w:tcPr>
            <w:tcW w:w="552" w:type="pct"/>
            <w:tcBorders>
              <w:top w:val="nil"/>
              <w:left w:val="nil"/>
              <w:bottom w:val="nil"/>
              <w:right w:val="nil"/>
            </w:tcBorders>
            <w:shd w:val="clear" w:color="auto" w:fill="auto"/>
            <w:vAlign w:val="center"/>
          </w:tcPr>
          <w:p w14:paraId="57E3D960">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63EB3A8C">
            <w:pPr>
              <w:rPr>
                <w:rFonts w:hint="eastAsia" w:ascii="宋体" w:hAnsi="宋体" w:eastAsia="宋体" w:cs="宋体"/>
                <w:i w:val="0"/>
                <w:iCs w:val="0"/>
                <w:color w:val="000000"/>
                <w:sz w:val="18"/>
                <w:szCs w:val="18"/>
                <w:u w:val="none"/>
              </w:rPr>
            </w:pPr>
          </w:p>
        </w:tc>
        <w:tc>
          <w:tcPr>
            <w:tcW w:w="501" w:type="pct"/>
            <w:tcBorders>
              <w:top w:val="nil"/>
              <w:left w:val="nil"/>
              <w:bottom w:val="nil"/>
              <w:right w:val="nil"/>
            </w:tcBorders>
            <w:shd w:val="clear" w:color="auto" w:fill="auto"/>
            <w:vAlign w:val="center"/>
          </w:tcPr>
          <w:p w14:paraId="07C261E2">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14:paraId="1C28C7D0">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3FED1093">
            <w:pPr>
              <w:rPr>
                <w:rFonts w:hint="eastAsia" w:ascii="宋体" w:hAnsi="宋体" w:eastAsia="宋体" w:cs="宋体"/>
                <w:i w:val="0"/>
                <w:iCs w:val="0"/>
                <w:color w:val="000000"/>
                <w:sz w:val="18"/>
                <w:szCs w:val="18"/>
                <w:u w:val="none"/>
              </w:rPr>
            </w:pPr>
          </w:p>
        </w:tc>
        <w:tc>
          <w:tcPr>
            <w:tcW w:w="360" w:type="pct"/>
            <w:tcBorders>
              <w:top w:val="nil"/>
              <w:left w:val="nil"/>
              <w:bottom w:val="nil"/>
              <w:right w:val="nil"/>
            </w:tcBorders>
            <w:shd w:val="clear" w:color="auto" w:fill="auto"/>
            <w:vAlign w:val="center"/>
          </w:tcPr>
          <w:p w14:paraId="0CB4B1D3">
            <w:pPr>
              <w:rPr>
                <w:rFonts w:hint="eastAsia" w:ascii="宋体" w:hAnsi="宋体" w:eastAsia="宋体" w:cs="宋体"/>
                <w:i w:val="0"/>
                <w:iCs w:val="0"/>
                <w:color w:val="000000"/>
                <w:sz w:val="18"/>
                <w:szCs w:val="18"/>
                <w:u w:val="none"/>
              </w:rPr>
            </w:pPr>
          </w:p>
        </w:tc>
        <w:tc>
          <w:tcPr>
            <w:tcW w:w="445" w:type="pct"/>
            <w:tcBorders>
              <w:top w:val="nil"/>
              <w:left w:val="nil"/>
              <w:bottom w:val="nil"/>
              <w:right w:val="nil"/>
            </w:tcBorders>
            <w:shd w:val="clear" w:color="auto" w:fill="auto"/>
            <w:vAlign w:val="center"/>
          </w:tcPr>
          <w:p w14:paraId="2A12692C">
            <w:pPr>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70DDE692">
            <w:pPr>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4E2A870B">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1C5A5414">
            <w:pPr>
              <w:rPr>
                <w:rFonts w:hint="eastAsia" w:ascii="宋体" w:hAnsi="宋体" w:eastAsia="宋体" w:cs="宋体"/>
                <w:i w:val="0"/>
                <w:iCs w:val="0"/>
                <w:color w:val="000000"/>
                <w:sz w:val="18"/>
                <w:szCs w:val="18"/>
                <w:u w:val="none"/>
              </w:rPr>
            </w:pPr>
          </w:p>
        </w:tc>
      </w:tr>
      <w:tr w14:paraId="38E5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EC4B6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E5A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3AC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939A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51000023T000008048903-双拥模范城（县）创建经费</w:t>
            </w:r>
          </w:p>
        </w:tc>
      </w:tr>
      <w:tr w14:paraId="3C05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786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294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445" w:type="pct"/>
            <w:tcBorders>
              <w:top w:val="nil"/>
              <w:left w:val="nil"/>
              <w:bottom w:val="nil"/>
              <w:right w:val="nil"/>
            </w:tcBorders>
            <w:shd w:val="clear" w:color="auto" w:fill="auto"/>
            <w:vAlign w:val="center"/>
          </w:tcPr>
          <w:p w14:paraId="7FFAFA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29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14:paraId="5DB0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567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DAC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D3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3780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AA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4EDBC">
            <w:pP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6DE0C">
            <w:pPr>
              <w:rPr>
                <w:rFonts w:hint="eastAsia" w:ascii="宋体" w:hAnsi="宋体" w:eastAsia="宋体" w:cs="宋体"/>
                <w:i w:val="0"/>
                <w:iCs w:val="0"/>
                <w:color w:val="000000"/>
                <w:sz w:val="18"/>
                <w:szCs w:val="18"/>
                <w:u w:val="none"/>
              </w:rPr>
            </w:pP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E48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我厅2023年投入370万元经费，通过双拥模范奖金的发放以及宣传活动的开展，达到新一届双拥模范城市的创建不低于80个的目标。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FC6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通过新一届双拥模范城（县）创建活动，全省共评选出118个双拥模范城（县、区）和48名爱国拥军模范（双拥模范奖金已发放到位），营造出了浓厚的双拥氛围。</w:t>
            </w:r>
          </w:p>
        </w:tc>
      </w:tr>
      <w:tr w14:paraId="31E7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20B6B">
            <w:pP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3E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870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双拥模范城创建期间，深入开展了双拥宣传活动，主要用于双拥模范城（县、区）创建公益广告制作及媒体推广和“最美拥军人物”“社会化拥军单位”等学习推广活动。创建结果出来后，召开了四川省双拥模范命名表彰暨全国双拥模范城（县）创建动员大会，会上表彰了先进、激励了干劲，进一步激发了全省军民做好双拥工作的积极性。</w:t>
            </w:r>
          </w:p>
        </w:tc>
      </w:tr>
      <w:tr w14:paraId="53D7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E4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7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9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2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A4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0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5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4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6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51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2617">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7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9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6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15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160.68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7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43.93%</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E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C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A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该项目为政府采购项目，按合同约定支付款项，结转部分到下年支付，目前正按进度有序推进。</w:t>
            </w:r>
          </w:p>
        </w:tc>
      </w:tr>
      <w:tr w14:paraId="569A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2750">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5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B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B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39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160.68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1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43.93%</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2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0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427E">
            <w:pPr>
              <w:jc w:val="left"/>
              <w:rPr>
                <w:rFonts w:hint="eastAsia" w:ascii="宋体" w:hAnsi="宋体" w:eastAsia="宋体" w:cs="宋体"/>
                <w:i w:val="0"/>
                <w:iCs w:val="0"/>
                <w:color w:val="000000"/>
                <w:sz w:val="16"/>
                <w:szCs w:val="16"/>
                <w:u w:val="none"/>
              </w:rPr>
            </w:pPr>
          </w:p>
        </w:tc>
      </w:tr>
      <w:tr w14:paraId="3C1A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EF9F">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2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7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E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7A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3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9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8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DE91">
            <w:pPr>
              <w:jc w:val="left"/>
              <w:rPr>
                <w:rFonts w:hint="eastAsia" w:ascii="宋体" w:hAnsi="宋体" w:eastAsia="宋体" w:cs="宋体"/>
                <w:i w:val="0"/>
                <w:iCs w:val="0"/>
                <w:color w:val="000000"/>
                <w:sz w:val="16"/>
                <w:szCs w:val="16"/>
                <w:u w:val="none"/>
              </w:rPr>
            </w:pPr>
          </w:p>
        </w:tc>
      </w:tr>
      <w:tr w14:paraId="5E94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E051C">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5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C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D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C9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E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F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3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F5FD">
            <w:pPr>
              <w:jc w:val="left"/>
              <w:rPr>
                <w:rFonts w:hint="eastAsia" w:ascii="宋体" w:hAnsi="宋体" w:eastAsia="宋体" w:cs="宋体"/>
                <w:i w:val="0"/>
                <w:iCs w:val="0"/>
                <w:color w:val="000000"/>
                <w:sz w:val="16"/>
                <w:szCs w:val="16"/>
                <w:u w:val="none"/>
              </w:rPr>
            </w:pPr>
          </w:p>
        </w:tc>
      </w:tr>
      <w:tr w14:paraId="53DE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0DC7">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0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59F5">
            <w:pPr>
              <w:jc w:val="center"/>
              <w:rPr>
                <w:rFonts w:hint="eastAsia" w:ascii="微软雅黑" w:hAnsi="微软雅黑" w:eastAsia="微软雅黑" w:cs="微软雅黑"/>
                <w:i/>
                <w:iCs/>
                <w:color w:val="000000"/>
                <w:sz w:val="16"/>
                <w:szCs w:val="16"/>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21BB">
            <w:pPr>
              <w:jc w:val="center"/>
              <w:rPr>
                <w:rFonts w:hint="eastAsia" w:ascii="微软雅黑" w:hAnsi="微软雅黑" w:eastAsia="微软雅黑" w:cs="微软雅黑"/>
                <w:i/>
                <w:iCs/>
                <w:color w:val="000000"/>
                <w:sz w:val="16"/>
                <w:szCs w:val="16"/>
                <w:u w:val="none"/>
              </w:rPr>
            </w:pP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66C2C">
            <w:pPr>
              <w:jc w:val="center"/>
              <w:rPr>
                <w:rFonts w:hint="eastAsia" w:ascii="微软雅黑" w:hAnsi="微软雅黑" w:eastAsia="微软雅黑" w:cs="微软雅黑"/>
                <w:i/>
                <w:iCs/>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DFEE">
            <w:pPr>
              <w:jc w:val="center"/>
              <w:rPr>
                <w:rFonts w:hint="eastAsia" w:ascii="微软雅黑" w:hAnsi="微软雅黑" w:eastAsia="微软雅黑" w:cs="微软雅黑"/>
                <w:i/>
                <w:iCs/>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8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5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3C35">
            <w:pPr>
              <w:jc w:val="left"/>
              <w:rPr>
                <w:rFonts w:hint="eastAsia" w:ascii="宋体" w:hAnsi="宋体" w:eastAsia="宋体" w:cs="宋体"/>
                <w:i w:val="0"/>
                <w:iCs w:val="0"/>
                <w:color w:val="000000"/>
                <w:sz w:val="16"/>
                <w:szCs w:val="16"/>
                <w:u w:val="none"/>
              </w:rPr>
            </w:pPr>
          </w:p>
        </w:tc>
      </w:tr>
      <w:tr w14:paraId="2987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48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4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5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5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5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2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F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3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7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E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3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78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F513">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E1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5F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1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开展大型宣传活动</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D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5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5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FD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2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5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90EE">
            <w:pPr>
              <w:jc w:val="center"/>
              <w:rPr>
                <w:rFonts w:hint="eastAsia" w:ascii="微软雅黑" w:hAnsi="微软雅黑" w:eastAsia="微软雅黑" w:cs="微软雅黑"/>
                <w:i/>
                <w:iCs/>
                <w:color w:val="000000"/>
                <w:sz w:val="16"/>
                <w:szCs w:val="16"/>
                <w:u w:val="none"/>
              </w:rPr>
            </w:pPr>
          </w:p>
        </w:tc>
      </w:tr>
      <w:tr w14:paraId="1D81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C9D6">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470F">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91E2">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F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奖金发放人数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9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9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D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75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2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3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1D68">
            <w:pPr>
              <w:jc w:val="center"/>
              <w:rPr>
                <w:rFonts w:hint="eastAsia" w:ascii="微软雅黑" w:hAnsi="微软雅黑" w:eastAsia="微软雅黑" w:cs="微软雅黑"/>
                <w:i/>
                <w:iCs/>
                <w:color w:val="000000"/>
                <w:sz w:val="16"/>
                <w:szCs w:val="16"/>
                <w:u w:val="none"/>
              </w:rPr>
            </w:pPr>
          </w:p>
        </w:tc>
      </w:tr>
      <w:tr w14:paraId="21C3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C243">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1401">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DA87F">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6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双拥模范城市创建个数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D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8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1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BF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A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A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566D">
            <w:pPr>
              <w:jc w:val="center"/>
              <w:rPr>
                <w:rFonts w:hint="eastAsia" w:ascii="微软雅黑" w:hAnsi="微软雅黑" w:eastAsia="微软雅黑" w:cs="微软雅黑"/>
                <w:i/>
                <w:iCs/>
                <w:color w:val="000000"/>
                <w:sz w:val="16"/>
                <w:szCs w:val="16"/>
                <w:u w:val="none"/>
              </w:rPr>
            </w:pPr>
          </w:p>
        </w:tc>
      </w:tr>
      <w:tr w14:paraId="215E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7412">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043C">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A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2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双拥发布完成率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B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1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C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FE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4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4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8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根据工作计划和安排，此项工作结转下年，目前正按进度有序推进。</w:t>
            </w:r>
          </w:p>
        </w:tc>
      </w:tr>
      <w:tr w14:paraId="1E1A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C044">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F591">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F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8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双拥发布完成时间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F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B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4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42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1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7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B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根据工作计划和安排，此项工作结转下年，目前正按进度有序推进。</w:t>
            </w:r>
          </w:p>
        </w:tc>
      </w:tr>
      <w:tr w14:paraId="088F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1A4E">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2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8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B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营造出全社会崇军拥军的良好氛围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8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2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37B4">
            <w:pPr>
              <w:jc w:val="center"/>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3985">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A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F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0575">
            <w:pPr>
              <w:jc w:val="center"/>
              <w:rPr>
                <w:rFonts w:hint="eastAsia" w:ascii="微软雅黑" w:hAnsi="微软雅黑" w:eastAsia="微软雅黑" w:cs="微软雅黑"/>
                <w:i/>
                <w:iCs/>
                <w:color w:val="000000"/>
                <w:sz w:val="16"/>
                <w:szCs w:val="16"/>
                <w:u w:val="none"/>
              </w:rPr>
            </w:pPr>
          </w:p>
        </w:tc>
      </w:tr>
      <w:tr w14:paraId="5924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5655">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6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E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D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退役军人满意度</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9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F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F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E2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C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6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1613">
            <w:pPr>
              <w:jc w:val="center"/>
              <w:rPr>
                <w:rFonts w:hint="eastAsia" w:ascii="微软雅黑" w:hAnsi="微软雅黑" w:eastAsia="微软雅黑" w:cs="微软雅黑"/>
                <w:i/>
                <w:iCs/>
                <w:color w:val="000000"/>
                <w:sz w:val="16"/>
                <w:szCs w:val="16"/>
                <w:u w:val="none"/>
              </w:rPr>
            </w:pPr>
          </w:p>
        </w:tc>
      </w:tr>
      <w:tr w14:paraId="6153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74F8">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6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6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9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4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E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A8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160.68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B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C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1A9A">
            <w:pPr>
              <w:jc w:val="center"/>
              <w:rPr>
                <w:rFonts w:hint="eastAsia" w:ascii="微软雅黑" w:hAnsi="微软雅黑" w:eastAsia="微软雅黑" w:cs="微软雅黑"/>
                <w:i/>
                <w:iCs/>
                <w:color w:val="000000"/>
                <w:sz w:val="16"/>
                <w:szCs w:val="16"/>
                <w:u w:val="none"/>
              </w:rPr>
            </w:pPr>
          </w:p>
        </w:tc>
      </w:tr>
      <w:tr w14:paraId="4ACA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5BA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D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3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84.39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AD8D">
            <w:pPr>
              <w:rPr>
                <w:rFonts w:hint="eastAsia" w:ascii="宋体" w:hAnsi="宋体" w:eastAsia="宋体" w:cs="宋体"/>
                <w:i w:val="0"/>
                <w:iCs w:val="0"/>
                <w:color w:val="000000"/>
                <w:sz w:val="18"/>
                <w:szCs w:val="18"/>
                <w:u w:val="none"/>
              </w:rPr>
            </w:pPr>
          </w:p>
        </w:tc>
      </w:tr>
      <w:tr w14:paraId="496A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A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ECD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自评总分84.39分，通过双拥宣传及双拥模范城创建活动，营造出广大军民参与双拥、支持双拥的自觉性显著增强，军爱民、民拥军的社会氛围更加浓厚，巩固了同呼吸、共命运、心连心的军政军民关系。</w:t>
            </w:r>
          </w:p>
        </w:tc>
      </w:tr>
      <w:tr w14:paraId="5FC7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FD1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6B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B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858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084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D0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7B6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1176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nil"/>
              <w:left w:val="nil"/>
              <w:bottom w:val="nil"/>
              <w:right w:val="nil"/>
            </w:tcBorders>
            <w:shd w:val="clear" w:color="auto" w:fill="auto"/>
            <w:vAlign w:val="center"/>
          </w:tcPr>
          <w:p w14:paraId="15E63C9B">
            <w:pPr>
              <w:rPr>
                <w:rFonts w:hint="eastAsia" w:ascii="宋体" w:hAnsi="宋体" w:eastAsia="宋体" w:cs="宋体"/>
                <w:i w:val="0"/>
                <w:iCs w:val="0"/>
                <w:color w:val="000000"/>
                <w:sz w:val="18"/>
                <w:szCs w:val="18"/>
                <w:u w:val="none"/>
              </w:rPr>
            </w:pPr>
          </w:p>
        </w:tc>
        <w:tc>
          <w:tcPr>
            <w:tcW w:w="552" w:type="pct"/>
            <w:tcBorders>
              <w:top w:val="nil"/>
              <w:left w:val="nil"/>
              <w:bottom w:val="nil"/>
              <w:right w:val="nil"/>
            </w:tcBorders>
            <w:shd w:val="clear" w:color="auto" w:fill="auto"/>
            <w:vAlign w:val="center"/>
          </w:tcPr>
          <w:p w14:paraId="777F3829">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22908C1A">
            <w:pPr>
              <w:rPr>
                <w:rFonts w:hint="eastAsia" w:ascii="宋体" w:hAnsi="宋体" w:eastAsia="宋体" w:cs="宋体"/>
                <w:i w:val="0"/>
                <w:iCs w:val="0"/>
                <w:color w:val="000000"/>
                <w:sz w:val="18"/>
                <w:szCs w:val="18"/>
                <w:u w:val="none"/>
              </w:rPr>
            </w:pPr>
          </w:p>
        </w:tc>
        <w:tc>
          <w:tcPr>
            <w:tcW w:w="501" w:type="pct"/>
            <w:tcBorders>
              <w:top w:val="nil"/>
              <w:left w:val="nil"/>
              <w:bottom w:val="nil"/>
              <w:right w:val="nil"/>
            </w:tcBorders>
            <w:shd w:val="clear" w:color="auto" w:fill="auto"/>
            <w:vAlign w:val="center"/>
          </w:tcPr>
          <w:p w14:paraId="448414EF">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14:paraId="711801F0">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0F049E3E">
            <w:pPr>
              <w:rPr>
                <w:rFonts w:hint="eastAsia" w:ascii="宋体" w:hAnsi="宋体" w:eastAsia="宋体" w:cs="宋体"/>
                <w:i w:val="0"/>
                <w:iCs w:val="0"/>
                <w:color w:val="000000"/>
                <w:sz w:val="18"/>
                <w:szCs w:val="18"/>
                <w:u w:val="none"/>
              </w:rPr>
            </w:pPr>
          </w:p>
        </w:tc>
        <w:tc>
          <w:tcPr>
            <w:tcW w:w="360" w:type="pct"/>
            <w:tcBorders>
              <w:top w:val="nil"/>
              <w:left w:val="nil"/>
              <w:bottom w:val="nil"/>
              <w:right w:val="nil"/>
            </w:tcBorders>
            <w:shd w:val="clear" w:color="auto" w:fill="auto"/>
            <w:vAlign w:val="center"/>
          </w:tcPr>
          <w:p w14:paraId="06BE7AF4">
            <w:pPr>
              <w:rPr>
                <w:rFonts w:hint="eastAsia" w:ascii="宋体" w:hAnsi="宋体" w:eastAsia="宋体" w:cs="宋体"/>
                <w:i w:val="0"/>
                <w:iCs w:val="0"/>
                <w:color w:val="000000"/>
                <w:sz w:val="18"/>
                <w:szCs w:val="18"/>
                <w:u w:val="none"/>
              </w:rPr>
            </w:pPr>
          </w:p>
        </w:tc>
        <w:tc>
          <w:tcPr>
            <w:tcW w:w="445" w:type="pct"/>
            <w:tcBorders>
              <w:top w:val="nil"/>
              <w:left w:val="nil"/>
              <w:bottom w:val="nil"/>
              <w:right w:val="nil"/>
            </w:tcBorders>
            <w:shd w:val="clear" w:color="auto" w:fill="auto"/>
            <w:vAlign w:val="center"/>
          </w:tcPr>
          <w:p w14:paraId="1C6C9690">
            <w:pPr>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41B04240">
            <w:pPr>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005D22D0">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14:paraId="1FD0DA15">
            <w:pPr>
              <w:rPr>
                <w:rFonts w:hint="eastAsia" w:ascii="宋体" w:hAnsi="宋体" w:eastAsia="宋体" w:cs="宋体"/>
                <w:i w:val="0"/>
                <w:iCs w:val="0"/>
                <w:color w:val="000000"/>
                <w:sz w:val="18"/>
                <w:szCs w:val="18"/>
                <w:u w:val="none"/>
              </w:rPr>
            </w:pPr>
          </w:p>
        </w:tc>
      </w:tr>
      <w:tr w14:paraId="2147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tcBorders>
              <w:top w:val="nil"/>
              <w:left w:val="nil"/>
              <w:bottom w:val="nil"/>
              <w:right w:val="nil"/>
            </w:tcBorders>
            <w:shd w:val="clear" w:color="auto" w:fill="auto"/>
            <w:noWrap/>
            <w:vAlign w:val="center"/>
          </w:tcPr>
          <w:p w14:paraId="68B47AEE">
            <w:pPr>
              <w:rPr>
                <w:rFonts w:hint="eastAsia" w:ascii="宋体" w:hAnsi="宋体" w:eastAsia="宋体" w:cs="宋体"/>
                <w:i w:val="0"/>
                <w:iCs w:val="0"/>
                <w:color w:val="000000"/>
                <w:sz w:val="22"/>
                <w:szCs w:val="22"/>
                <w:u w:val="none"/>
              </w:rPr>
            </w:pPr>
          </w:p>
          <w:p w14:paraId="77246FEA">
            <w:pPr>
              <w:rPr>
                <w:rFonts w:hint="eastAsia" w:ascii="宋体" w:hAnsi="宋体" w:eastAsia="宋体" w:cs="宋体"/>
                <w:i w:val="0"/>
                <w:iCs w:val="0"/>
                <w:color w:val="000000"/>
                <w:sz w:val="22"/>
                <w:szCs w:val="22"/>
                <w:u w:val="none"/>
              </w:rPr>
            </w:pPr>
          </w:p>
          <w:p w14:paraId="0577AD84">
            <w:pPr>
              <w:rPr>
                <w:rFonts w:hint="eastAsia" w:ascii="宋体" w:hAnsi="宋体" w:eastAsia="宋体" w:cs="宋体"/>
                <w:i w:val="0"/>
                <w:iCs w:val="0"/>
                <w:color w:val="000000"/>
                <w:sz w:val="22"/>
                <w:szCs w:val="22"/>
                <w:u w:val="none"/>
              </w:rPr>
            </w:pPr>
          </w:p>
        </w:tc>
        <w:tc>
          <w:tcPr>
            <w:tcW w:w="552" w:type="pct"/>
            <w:tcBorders>
              <w:top w:val="nil"/>
              <w:left w:val="nil"/>
              <w:bottom w:val="nil"/>
              <w:right w:val="nil"/>
            </w:tcBorders>
            <w:shd w:val="clear" w:color="auto" w:fill="auto"/>
            <w:noWrap/>
            <w:vAlign w:val="center"/>
          </w:tcPr>
          <w:p w14:paraId="614ADA3D">
            <w:pPr>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14:paraId="603F4D01">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shd w:val="clear" w:color="auto" w:fill="auto"/>
            <w:noWrap/>
            <w:vAlign w:val="center"/>
          </w:tcPr>
          <w:p w14:paraId="6A4C39E7">
            <w:pPr>
              <w:rPr>
                <w:rFonts w:hint="eastAsia" w:ascii="宋体" w:hAnsi="宋体" w:eastAsia="宋体" w:cs="宋体"/>
                <w:i w:val="0"/>
                <w:iCs w:val="0"/>
                <w:color w:val="000000"/>
                <w:sz w:val="22"/>
                <w:szCs w:val="22"/>
                <w:u w:val="none"/>
              </w:rPr>
            </w:pPr>
          </w:p>
        </w:tc>
        <w:tc>
          <w:tcPr>
            <w:tcW w:w="415" w:type="pct"/>
            <w:tcBorders>
              <w:top w:val="nil"/>
              <w:left w:val="nil"/>
              <w:bottom w:val="nil"/>
              <w:right w:val="nil"/>
            </w:tcBorders>
            <w:shd w:val="clear" w:color="auto" w:fill="auto"/>
            <w:noWrap/>
            <w:vAlign w:val="center"/>
          </w:tcPr>
          <w:p w14:paraId="4620EE5A">
            <w:pPr>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14:paraId="6A7241A8">
            <w:pPr>
              <w:rPr>
                <w:rFonts w:hint="eastAsia" w:ascii="宋体" w:hAnsi="宋体" w:eastAsia="宋体" w:cs="宋体"/>
                <w:i w:val="0"/>
                <w:iCs w:val="0"/>
                <w:color w:val="000000"/>
                <w:sz w:val="22"/>
                <w:szCs w:val="22"/>
                <w:u w:val="none"/>
              </w:rPr>
            </w:pPr>
          </w:p>
        </w:tc>
        <w:tc>
          <w:tcPr>
            <w:tcW w:w="360" w:type="pct"/>
            <w:tcBorders>
              <w:top w:val="nil"/>
              <w:left w:val="nil"/>
              <w:bottom w:val="nil"/>
              <w:right w:val="nil"/>
            </w:tcBorders>
            <w:shd w:val="clear" w:color="auto" w:fill="auto"/>
            <w:noWrap/>
            <w:vAlign w:val="center"/>
          </w:tcPr>
          <w:p w14:paraId="0B68B119">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14:paraId="4F532FE2">
            <w:pPr>
              <w:rPr>
                <w:rFonts w:hint="eastAsia" w:ascii="宋体" w:hAnsi="宋体" w:eastAsia="宋体" w:cs="宋体"/>
                <w:i w:val="0"/>
                <w:iCs w:val="0"/>
                <w:color w:val="000000"/>
                <w:sz w:val="22"/>
                <w:szCs w:val="22"/>
                <w:u w:val="none"/>
              </w:rPr>
            </w:pPr>
          </w:p>
        </w:tc>
        <w:tc>
          <w:tcPr>
            <w:tcW w:w="413" w:type="pct"/>
            <w:tcBorders>
              <w:top w:val="nil"/>
              <w:left w:val="nil"/>
              <w:bottom w:val="nil"/>
              <w:right w:val="nil"/>
            </w:tcBorders>
            <w:shd w:val="clear" w:color="auto" w:fill="auto"/>
            <w:noWrap/>
            <w:vAlign w:val="center"/>
          </w:tcPr>
          <w:p w14:paraId="6A9B8E85">
            <w:pPr>
              <w:rPr>
                <w:rFonts w:hint="eastAsia" w:ascii="宋体" w:hAnsi="宋体" w:eastAsia="宋体" w:cs="宋体"/>
                <w:i w:val="0"/>
                <w:iCs w:val="0"/>
                <w:color w:val="000000"/>
                <w:sz w:val="22"/>
                <w:szCs w:val="22"/>
                <w:u w:val="none"/>
              </w:rPr>
            </w:pPr>
          </w:p>
        </w:tc>
        <w:tc>
          <w:tcPr>
            <w:tcW w:w="413" w:type="pct"/>
            <w:tcBorders>
              <w:top w:val="nil"/>
              <w:left w:val="nil"/>
              <w:bottom w:val="nil"/>
              <w:right w:val="nil"/>
            </w:tcBorders>
            <w:shd w:val="clear" w:color="auto" w:fill="auto"/>
            <w:noWrap/>
            <w:vAlign w:val="center"/>
          </w:tcPr>
          <w:p w14:paraId="01CC8376">
            <w:pPr>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14:paraId="36A9F8E3">
            <w:pPr>
              <w:rPr>
                <w:rFonts w:hint="eastAsia" w:ascii="宋体" w:hAnsi="宋体" w:eastAsia="宋体" w:cs="宋体"/>
                <w:i w:val="0"/>
                <w:iCs w:val="0"/>
                <w:color w:val="000000"/>
                <w:sz w:val="22"/>
                <w:szCs w:val="22"/>
                <w:u w:val="none"/>
              </w:rPr>
            </w:pPr>
          </w:p>
        </w:tc>
      </w:tr>
      <w:tr w14:paraId="3326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413C8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4F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D3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6B0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51000023T000009529814-2023年度省直机关公务用车大修</w:t>
            </w:r>
          </w:p>
        </w:tc>
      </w:tr>
      <w:tr w14:paraId="4FA8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A5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5E4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445" w:type="pct"/>
            <w:tcBorders>
              <w:top w:val="nil"/>
              <w:left w:val="nil"/>
              <w:bottom w:val="nil"/>
              <w:right w:val="nil"/>
            </w:tcBorders>
            <w:shd w:val="clear" w:color="auto" w:fill="auto"/>
            <w:vAlign w:val="center"/>
          </w:tcPr>
          <w:p w14:paraId="4AA637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AE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14:paraId="20CC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7BD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CF1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15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36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14:paraId="1A40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3C8D">
            <w:pP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7186">
            <w:pPr>
              <w:rPr>
                <w:rFonts w:hint="eastAsia" w:ascii="宋体" w:hAnsi="宋体" w:eastAsia="宋体" w:cs="宋体"/>
                <w:i w:val="0"/>
                <w:iCs w:val="0"/>
                <w:color w:val="000000"/>
                <w:sz w:val="18"/>
                <w:szCs w:val="18"/>
                <w:u w:val="none"/>
              </w:rPr>
            </w:pP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733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完成车辆川A74G7T大型维修。</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5BB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已完成车辆川A74G7T的大型维修。</w:t>
            </w:r>
          </w:p>
        </w:tc>
      </w:tr>
      <w:tr w14:paraId="376B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26DF">
            <w:pP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58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2B5E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机关事务管理局关于报送2023年度公务用车配备更新和大修申请的通知》要求，呈报《四川省退役军人事务厅关于申请批准2023年度公务用车大修的函》，收到关于下达2023年度省直机关公务用车大修专项资金的通知后，通过公务用车管理平台，按要求执行完毕。</w:t>
            </w:r>
          </w:p>
        </w:tc>
      </w:tr>
      <w:tr w14:paraId="35E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15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E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8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7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3B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A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1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5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9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F59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DB267">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0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9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D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EB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5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F9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9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83CF5">
            <w:pPr>
              <w:rPr>
                <w:rFonts w:hint="eastAsia" w:ascii="黑体" w:hAnsi="黑体" w:eastAsia="黑体" w:cs="黑体"/>
                <w:i/>
                <w:iCs/>
                <w:color w:val="000000"/>
                <w:sz w:val="18"/>
                <w:szCs w:val="18"/>
                <w:u w:val="none"/>
              </w:rPr>
            </w:pPr>
          </w:p>
        </w:tc>
      </w:tr>
      <w:tr w14:paraId="30E1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294C">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2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7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4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C3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0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9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4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AE11">
            <w:pPr>
              <w:rPr>
                <w:rFonts w:hint="eastAsia" w:ascii="黑体" w:hAnsi="黑体" w:eastAsia="黑体" w:cs="黑体"/>
                <w:i/>
                <w:iCs/>
                <w:color w:val="000000"/>
                <w:sz w:val="18"/>
                <w:szCs w:val="18"/>
                <w:u w:val="none"/>
              </w:rPr>
            </w:pPr>
          </w:p>
        </w:tc>
      </w:tr>
      <w:tr w14:paraId="68608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2D73">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9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4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0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8E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8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1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6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0008">
            <w:pPr>
              <w:rPr>
                <w:rFonts w:hint="eastAsia" w:ascii="黑体" w:hAnsi="黑体" w:eastAsia="黑体" w:cs="黑体"/>
                <w:i/>
                <w:iCs/>
                <w:color w:val="000000"/>
                <w:sz w:val="18"/>
                <w:szCs w:val="18"/>
                <w:u w:val="none"/>
              </w:rPr>
            </w:pPr>
          </w:p>
        </w:tc>
      </w:tr>
      <w:tr w14:paraId="123F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31BB">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9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8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9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29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8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8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9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DE76C">
            <w:pPr>
              <w:rPr>
                <w:rFonts w:hint="eastAsia" w:ascii="黑体" w:hAnsi="黑体" w:eastAsia="黑体" w:cs="黑体"/>
                <w:i/>
                <w:iCs/>
                <w:color w:val="000000"/>
                <w:sz w:val="18"/>
                <w:szCs w:val="18"/>
                <w:u w:val="none"/>
              </w:rPr>
            </w:pPr>
          </w:p>
        </w:tc>
      </w:tr>
      <w:tr w14:paraId="5D38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D121">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0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2F32">
            <w:pPr>
              <w:jc w:val="center"/>
              <w:rPr>
                <w:rFonts w:hint="eastAsia" w:ascii="微软雅黑" w:hAnsi="微软雅黑" w:eastAsia="微软雅黑" w:cs="微软雅黑"/>
                <w:i/>
                <w:iCs/>
                <w:color w:val="000000"/>
                <w:sz w:val="16"/>
                <w:szCs w:val="16"/>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4591">
            <w:pPr>
              <w:jc w:val="center"/>
              <w:rPr>
                <w:rFonts w:hint="eastAsia" w:ascii="微软雅黑" w:hAnsi="微软雅黑" w:eastAsia="微软雅黑" w:cs="微软雅黑"/>
                <w:i/>
                <w:iCs/>
                <w:color w:val="000000"/>
                <w:sz w:val="16"/>
                <w:szCs w:val="16"/>
                <w:u w:val="none"/>
              </w:rPr>
            </w:pP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5DFD9">
            <w:pPr>
              <w:jc w:val="center"/>
              <w:rPr>
                <w:rFonts w:hint="eastAsia" w:ascii="微软雅黑" w:hAnsi="微软雅黑" w:eastAsia="微软雅黑" w:cs="微软雅黑"/>
                <w:i/>
                <w:iCs/>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9028">
            <w:pPr>
              <w:jc w:val="center"/>
              <w:rPr>
                <w:rFonts w:hint="eastAsia" w:ascii="微软雅黑" w:hAnsi="微软雅黑" w:eastAsia="微软雅黑" w:cs="微软雅黑"/>
                <w:i/>
                <w:iCs/>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4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6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9BE3">
            <w:pPr>
              <w:rPr>
                <w:rFonts w:hint="eastAsia" w:ascii="黑体" w:hAnsi="黑体" w:eastAsia="黑体" w:cs="黑体"/>
                <w:i/>
                <w:iCs/>
                <w:color w:val="000000"/>
                <w:sz w:val="18"/>
                <w:szCs w:val="18"/>
                <w:u w:val="none"/>
              </w:rPr>
            </w:pPr>
          </w:p>
        </w:tc>
      </w:tr>
      <w:tr w14:paraId="6459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CB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2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9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8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8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5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6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0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F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2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1E7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7967">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24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6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B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维修次数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5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B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4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41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F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9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3F8A">
            <w:pPr>
              <w:jc w:val="center"/>
              <w:rPr>
                <w:rFonts w:hint="eastAsia" w:ascii="微软雅黑" w:hAnsi="微软雅黑" w:eastAsia="微软雅黑" w:cs="微软雅黑"/>
                <w:i/>
                <w:iCs/>
                <w:color w:val="000000"/>
                <w:sz w:val="16"/>
                <w:szCs w:val="16"/>
                <w:u w:val="none"/>
              </w:rPr>
            </w:pPr>
          </w:p>
        </w:tc>
      </w:tr>
      <w:tr w14:paraId="3E52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64893">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055A">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4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C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1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B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7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80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8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5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28D4">
            <w:pPr>
              <w:jc w:val="center"/>
              <w:rPr>
                <w:rFonts w:hint="eastAsia" w:ascii="微软雅黑" w:hAnsi="微软雅黑" w:eastAsia="微软雅黑" w:cs="微软雅黑"/>
                <w:i/>
                <w:iCs/>
                <w:color w:val="000000"/>
                <w:sz w:val="16"/>
                <w:szCs w:val="16"/>
                <w:u w:val="none"/>
              </w:rPr>
            </w:pPr>
          </w:p>
        </w:tc>
      </w:tr>
      <w:tr w14:paraId="2F51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3089C">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0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9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9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使用年限</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1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F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8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71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A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6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22B0">
            <w:pPr>
              <w:jc w:val="center"/>
              <w:rPr>
                <w:rFonts w:hint="eastAsia" w:ascii="微软雅黑" w:hAnsi="微软雅黑" w:eastAsia="微软雅黑" w:cs="微软雅黑"/>
                <w:i/>
                <w:iCs/>
                <w:color w:val="000000"/>
                <w:sz w:val="16"/>
                <w:szCs w:val="16"/>
                <w:u w:val="none"/>
              </w:rPr>
            </w:pPr>
          </w:p>
        </w:tc>
      </w:tr>
      <w:tr w14:paraId="5565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8908">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2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1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8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机关工作人员满意度</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C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E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8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E7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A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8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F246">
            <w:pPr>
              <w:jc w:val="center"/>
              <w:rPr>
                <w:rFonts w:hint="eastAsia" w:ascii="微软雅黑" w:hAnsi="微软雅黑" w:eastAsia="微软雅黑" w:cs="微软雅黑"/>
                <w:i/>
                <w:iCs/>
                <w:color w:val="000000"/>
                <w:sz w:val="16"/>
                <w:szCs w:val="16"/>
                <w:u w:val="none"/>
              </w:rPr>
            </w:pPr>
          </w:p>
        </w:tc>
      </w:tr>
      <w:tr w14:paraId="2F98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2B2A7">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7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9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7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公务用车维修费用成本控制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2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3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F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EF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E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9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FA59">
            <w:pPr>
              <w:jc w:val="center"/>
              <w:rPr>
                <w:rFonts w:hint="eastAsia" w:ascii="微软雅黑" w:hAnsi="微软雅黑" w:eastAsia="微软雅黑" w:cs="微软雅黑"/>
                <w:i/>
                <w:iCs/>
                <w:color w:val="000000"/>
                <w:sz w:val="16"/>
                <w:szCs w:val="16"/>
                <w:u w:val="none"/>
              </w:rPr>
            </w:pPr>
          </w:p>
        </w:tc>
      </w:tr>
      <w:tr w14:paraId="5D97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A9B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2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D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FEE1">
            <w:pPr>
              <w:rPr>
                <w:rFonts w:hint="eastAsia" w:ascii="宋体" w:hAnsi="宋体" w:eastAsia="宋体" w:cs="宋体"/>
                <w:i w:val="0"/>
                <w:iCs w:val="0"/>
                <w:color w:val="000000"/>
                <w:sz w:val="18"/>
                <w:szCs w:val="18"/>
                <w:u w:val="none"/>
              </w:rPr>
            </w:pPr>
          </w:p>
        </w:tc>
      </w:tr>
      <w:tr w14:paraId="1CCC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ABA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自评总分100分，项目及时维修，保障了机关公务用车正常出行。</w:t>
            </w:r>
          </w:p>
        </w:tc>
      </w:tr>
      <w:tr w14:paraId="115E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3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7C2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647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5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002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5C3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F7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615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r w14:paraId="4A67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8EE93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C0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5C2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A7BB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51000023T000009644270-2023年度市场监管标准化专项资金</w:t>
            </w:r>
          </w:p>
        </w:tc>
      </w:tr>
      <w:tr w14:paraId="7995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D42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BC7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445" w:type="pct"/>
            <w:tcBorders>
              <w:top w:val="nil"/>
              <w:left w:val="nil"/>
              <w:bottom w:val="nil"/>
              <w:right w:val="nil"/>
            </w:tcBorders>
            <w:shd w:val="clear" w:color="auto" w:fill="auto"/>
            <w:vAlign w:val="center"/>
          </w:tcPr>
          <w:p w14:paraId="4FBADD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B6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14:paraId="52A8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A6B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22D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92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A2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14:paraId="2CB8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6D7D">
            <w:pP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D3BC">
            <w:pPr>
              <w:rPr>
                <w:rFonts w:hint="eastAsia" w:ascii="宋体" w:hAnsi="宋体" w:eastAsia="宋体" w:cs="宋体"/>
                <w:i w:val="0"/>
                <w:iCs w:val="0"/>
                <w:color w:val="000000"/>
                <w:sz w:val="18"/>
                <w:szCs w:val="18"/>
                <w:u w:val="none"/>
              </w:rPr>
            </w:pP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545B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组织标准起草单位单位编制完成3项退役军人事务管理服务省级地方标准标准。</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9F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标准起草单位单位已编制完成3项退役军人事务管理服务省级地方标准标准。</w:t>
            </w:r>
          </w:p>
        </w:tc>
      </w:tr>
      <w:tr w14:paraId="7168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BC25">
            <w:pP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35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8CEB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通过组建以厅长为组长、厅班子成员为副组长、部门负责人为成员的标准化建设领导小组，设置办公室、明确专职人员推动落实省级地方标准的编制，在标准化专家指导下通过深入调研四川省退役军人事务管理服务实际情况结合国家相关法律法规政策文件制定四川省《退役军人服务大厅建设与运行管理规范》《退役军人就业创业服务管理规范》《军休干部(士官)服务管理规范》3项省级地方标准草案，发往标准使用、管理相关部门征集意见完善后经省市场局组织标准化专家组的审查最终发布实施，组织开展全省退役军人事务系统标准的培训，印发标准实施监督检查办法及评价表，组织自查评估，深入10余个市州督查标准实施情况。</w:t>
            </w:r>
          </w:p>
        </w:tc>
      </w:tr>
      <w:tr w14:paraId="2B5D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F1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5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5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3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87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1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E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2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A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84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5209">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6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8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4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EF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F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D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D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8769">
            <w:pPr>
              <w:rPr>
                <w:rFonts w:hint="eastAsia" w:ascii="黑体" w:hAnsi="黑体" w:eastAsia="黑体" w:cs="黑体"/>
                <w:i/>
                <w:iCs/>
                <w:color w:val="000000"/>
                <w:sz w:val="18"/>
                <w:szCs w:val="18"/>
                <w:u w:val="none"/>
              </w:rPr>
            </w:pPr>
          </w:p>
        </w:tc>
      </w:tr>
      <w:tr w14:paraId="6D79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2F92">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9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4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1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57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1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7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3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6D39">
            <w:pPr>
              <w:rPr>
                <w:rFonts w:hint="eastAsia" w:ascii="黑体" w:hAnsi="黑体" w:eastAsia="黑体" w:cs="黑体"/>
                <w:i/>
                <w:iCs/>
                <w:color w:val="000000"/>
                <w:sz w:val="18"/>
                <w:szCs w:val="18"/>
                <w:u w:val="none"/>
              </w:rPr>
            </w:pPr>
          </w:p>
        </w:tc>
      </w:tr>
      <w:tr w14:paraId="4EC3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4EEC">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0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A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6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2F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C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7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C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319B">
            <w:pPr>
              <w:rPr>
                <w:rFonts w:hint="eastAsia" w:ascii="黑体" w:hAnsi="黑体" w:eastAsia="黑体" w:cs="黑体"/>
                <w:i/>
                <w:iCs/>
                <w:color w:val="000000"/>
                <w:sz w:val="18"/>
                <w:szCs w:val="18"/>
                <w:u w:val="none"/>
              </w:rPr>
            </w:pPr>
          </w:p>
        </w:tc>
      </w:tr>
      <w:tr w14:paraId="1D92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D974">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8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9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7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B3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8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0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3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37D8">
            <w:pPr>
              <w:rPr>
                <w:rFonts w:hint="eastAsia" w:ascii="黑体" w:hAnsi="黑体" w:eastAsia="黑体" w:cs="黑体"/>
                <w:i/>
                <w:iCs/>
                <w:color w:val="000000"/>
                <w:sz w:val="18"/>
                <w:szCs w:val="18"/>
                <w:u w:val="none"/>
              </w:rPr>
            </w:pPr>
          </w:p>
        </w:tc>
      </w:tr>
      <w:tr w14:paraId="792E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AF35">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A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D1BA">
            <w:pPr>
              <w:jc w:val="center"/>
              <w:rPr>
                <w:rFonts w:hint="eastAsia" w:ascii="微软雅黑" w:hAnsi="微软雅黑" w:eastAsia="微软雅黑" w:cs="微软雅黑"/>
                <w:i/>
                <w:iCs/>
                <w:color w:val="000000"/>
                <w:sz w:val="16"/>
                <w:szCs w:val="16"/>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542A">
            <w:pPr>
              <w:jc w:val="center"/>
              <w:rPr>
                <w:rFonts w:hint="eastAsia" w:ascii="微软雅黑" w:hAnsi="微软雅黑" w:eastAsia="微软雅黑" w:cs="微软雅黑"/>
                <w:i/>
                <w:iCs/>
                <w:color w:val="000000"/>
                <w:sz w:val="16"/>
                <w:szCs w:val="16"/>
                <w:u w:val="none"/>
              </w:rPr>
            </w:pP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BA751">
            <w:pPr>
              <w:jc w:val="center"/>
              <w:rPr>
                <w:rFonts w:hint="eastAsia" w:ascii="微软雅黑" w:hAnsi="微软雅黑" w:eastAsia="微软雅黑" w:cs="微软雅黑"/>
                <w:i/>
                <w:iCs/>
                <w:color w:val="000000"/>
                <w:sz w:val="16"/>
                <w:szCs w:val="16"/>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D11A">
            <w:pPr>
              <w:jc w:val="center"/>
              <w:rPr>
                <w:rFonts w:hint="eastAsia" w:ascii="微软雅黑" w:hAnsi="微软雅黑" w:eastAsia="微软雅黑" w:cs="微软雅黑"/>
                <w:i/>
                <w:iCs/>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B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1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44C4">
            <w:pPr>
              <w:rPr>
                <w:rFonts w:hint="eastAsia" w:ascii="黑体" w:hAnsi="黑体" w:eastAsia="黑体" w:cs="黑体"/>
                <w:i/>
                <w:iCs/>
                <w:color w:val="000000"/>
                <w:sz w:val="18"/>
                <w:szCs w:val="18"/>
                <w:u w:val="none"/>
              </w:rPr>
            </w:pPr>
          </w:p>
        </w:tc>
      </w:tr>
      <w:tr w14:paraId="0730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4E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5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1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9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4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3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3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E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F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3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B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19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7CEA">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28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E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4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完成省级地方标准的编制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C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2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7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F0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7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9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B453">
            <w:pPr>
              <w:jc w:val="center"/>
              <w:rPr>
                <w:rFonts w:hint="eastAsia" w:ascii="微软雅黑" w:hAnsi="微软雅黑" w:eastAsia="微软雅黑" w:cs="微软雅黑"/>
                <w:i/>
                <w:iCs/>
                <w:color w:val="000000"/>
                <w:sz w:val="16"/>
                <w:szCs w:val="16"/>
                <w:u w:val="none"/>
              </w:rPr>
            </w:pPr>
          </w:p>
        </w:tc>
      </w:tr>
      <w:tr w14:paraId="2482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46F6">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DDC00">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C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B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建立发布实施四川省退役军人事务管理服务标准化管理办法</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0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6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1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A3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0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C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A43D">
            <w:pPr>
              <w:jc w:val="center"/>
              <w:rPr>
                <w:rFonts w:hint="eastAsia" w:ascii="微软雅黑" w:hAnsi="微软雅黑" w:eastAsia="微软雅黑" w:cs="微软雅黑"/>
                <w:i/>
                <w:iCs/>
                <w:color w:val="000000"/>
                <w:sz w:val="16"/>
                <w:szCs w:val="16"/>
                <w:u w:val="none"/>
              </w:rPr>
            </w:pPr>
          </w:p>
        </w:tc>
      </w:tr>
      <w:tr w14:paraId="60EF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466E">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7777">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6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E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5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4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2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1C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E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B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5B67">
            <w:pPr>
              <w:jc w:val="center"/>
              <w:rPr>
                <w:rFonts w:hint="eastAsia" w:ascii="微软雅黑" w:hAnsi="微软雅黑" w:eastAsia="微软雅黑" w:cs="微软雅黑"/>
                <w:i/>
                <w:iCs/>
                <w:color w:val="000000"/>
                <w:sz w:val="16"/>
                <w:szCs w:val="16"/>
                <w:u w:val="none"/>
              </w:rPr>
            </w:pPr>
          </w:p>
        </w:tc>
      </w:tr>
      <w:tr w14:paraId="1152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9423">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4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3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1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规范约束服务行为</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8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E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FA8B">
            <w:pPr>
              <w:jc w:val="center"/>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D8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9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1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F6D2">
            <w:pPr>
              <w:jc w:val="center"/>
              <w:rPr>
                <w:rFonts w:hint="eastAsia" w:ascii="微软雅黑" w:hAnsi="微软雅黑" w:eastAsia="微软雅黑" w:cs="微软雅黑"/>
                <w:i/>
                <w:iCs/>
                <w:color w:val="000000"/>
                <w:sz w:val="16"/>
                <w:szCs w:val="16"/>
                <w:u w:val="none"/>
              </w:rPr>
            </w:pPr>
          </w:p>
        </w:tc>
      </w:tr>
      <w:tr w14:paraId="165B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23DC">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1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F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9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服务对象满意度调查</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3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9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3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A0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D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F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3DC3">
            <w:pPr>
              <w:jc w:val="center"/>
              <w:rPr>
                <w:rFonts w:hint="eastAsia" w:ascii="微软雅黑" w:hAnsi="微软雅黑" w:eastAsia="微软雅黑" w:cs="微软雅黑"/>
                <w:i/>
                <w:iCs/>
                <w:color w:val="000000"/>
                <w:sz w:val="16"/>
                <w:szCs w:val="16"/>
                <w:u w:val="none"/>
              </w:rPr>
            </w:pPr>
          </w:p>
        </w:tc>
      </w:tr>
      <w:tr w14:paraId="0E13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726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4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0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7B30">
            <w:pPr>
              <w:rPr>
                <w:rFonts w:hint="eastAsia" w:ascii="宋体" w:hAnsi="宋体" w:eastAsia="宋体" w:cs="宋体"/>
                <w:i w:val="0"/>
                <w:iCs w:val="0"/>
                <w:color w:val="000000"/>
                <w:sz w:val="18"/>
                <w:szCs w:val="18"/>
                <w:u w:val="none"/>
              </w:rPr>
            </w:pPr>
          </w:p>
        </w:tc>
      </w:tr>
      <w:tr w14:paraId="2ED6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B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B24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项目自评总分99.91分，该项目为退役军人事务管理服务提供了遵循和依据，有效推进退役军人事务管理服务的高质量发展。</w:t>
            </w:r>
          </w:p>
        </w:tc>
      </w:tr>
      <w:tr w14:paraId="473A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5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F62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719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7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7A6F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75A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8B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0CE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w:t>
            </w:r>
          </w:p>
        </w:tc>
      </w:tr>
    </w:tbl>
    <w:p w14:paraId="7674F79E">
      <w:pPr>
        <w:pageBreakBefore w:val="0"/>
        <w:kinsoku/>
        <w:wordWrap/>
        <w:overflowPunct/>
        <w:topLinePunct w:val="0"/>
        <w:bidi w:val="0"/>
        <w:snapToGrid/>
        <w:spacing w:line="600" w:lineRule="exact"/>
        <w:jc w:val="left"/>
        <w:textAlignment w:val="auto"/>
        <w:outlineLvl w:val="0"/>
        <w:rPr>
          <w:rFonts w:hint="eastAsia" w:ascii="黑体" w:hAnsi="黑体" w:eastAsia="黑体"/>
          <w:color w:val="auto"/>
          <w:sz w:val="44"/>
          <w:szCs w:val="44"/>
          <w:highlight w:val="none"/>
        </w:rPr>
      </w:pPr>
    </w:p>
    <w:p w14:paraId="0EC4EE6B">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15ACD286">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272577DA">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20569B39">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575C2051">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61CE8FBC">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F295B3C">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38DADA7C">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4CB1E4B8">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7A68733C">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489A5553">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525D7575">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6E34B8EF">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13D29FBB">
      <w:pPr>
        <w:pageBreakBefore w:val="0"/>
        <w:kinsoku/>
        <w:wordWrap/>
        <w:overflowPunct/>
        <w:topLinePunct w:val="0"/>
        <w:bidi w:val="0"/>
        <w:snapToGrid/>
        <w:spacing w:line="600" w:lineRule="exact"/>
        <w:jc w:val="both"/>
        <w:textAlignment w:val="auto"/>
        <w:outlineLvl w:val="0"/>
        <w:rPr>
          <w:rFonts w:hint="eastAsia" w:ascii="黑体" w:hAnsi="黑体" w:eastAsia="黑体"/>
          <w:color w:val="auto"/>
          <w:sz w:val="44"/>
          <w:szCs w:val="44"/>
          <w:highlight w:val="none"/>
        </w:rPr>
      </w:pPr>
    </w:p>
    <w:p w14:paraId="1BD2E49D">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14:paraId="4DB8E1A6">
      <w:pPr>
        <w:pageBreakBefore w:val="0"/>
        <w:kinsoku/>
        <w:wordWrap/>
        <w:overflowPunct/>
        <w:topLinePunct w:val="0"/>
        <w:bidi w:val="0"/>
        <w:snapToGrid/>
        <w:spacing w:line="600" w:lineRule="exact"/>
        <w:jc w:val="center"/>
        <w:textAlignment w:val="auto"/>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Start w:id="54" w:name="_Toc15396619"/>
    </w:p>
    <w:p w14:paraId="7B91E057">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14:paraId="1A24AE51">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14:paraId="5829CA3C">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14:paraId="45479D90">
      <w:pPr>
        <w:pStyle w:val="3"/>
        <w:pageBreakBefore w:val="0"/>
        <w:kinsoku/>
        <w:wordWrap/>
        <w:overflowPunct/>
        <w:topLinePunct w:val="0"/>
        <w:bidi w:val="0"/>
        <w:snapToGrid/>
        <w:spacing w:line="600" w:lineRule="exact"/>
        <w:textAlignment w:val="auto"/>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14:paraId="53879CE9">
      <w:pPr>
        <w:pStyle w:val="3"/>
        <w:pageBreakBefore w:val="0"/>
        <w:kinsoku/>
        <w:wordWrap/>
        <w:overflowPunct/>
        <w:topLinePunct w:val="0"/>
        <w:bidi w:val="0"/>
        <w:snapToGrid/>
        <w:spacing w:line="600" w:lineRule="exact"/>
        <w:textAlignment w:val="auto"/>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14:paraId="56D8BB48">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14:paraId="7639865A">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14:paraId="05666739">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14:paraId="322E8816">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14:paraId="704C4AEA">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1E4482F4">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643F7CAD">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14:paraId="4420E5D9">
      <w:pPr>
        <w:pStyle w:val="3"/>
        <w:pageBreakBefore w:val="0"/>
        <w:kinsoku/>
        <w:wordWrap/>
        <w:overflowPunct/>
        <w:topLinePunct w:val="0"/>
        <w:bidi w:val="0"/>
        <w:snapToGrid/>
        <w:spacing w:line="600" w:lineRule="exact"/>
        <w:textAlignment w:val="auto"/>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p w14:paraId="6F900919">
      <w:pPr>
        <w:pStyle w:val="5"/>
        <w:pageBreakBefore w:val="0"/>
        <w:kinsoku/>
        <w:wordWrap/>
        <w:overflowPunct/>
        <w:topLinePunct w:val="0"/>
        <w:bidi w:val="0"/>
        <w:snapToGrid/>
        <w:spacing w:line="600" w:lineRule="exact"/>
        <w:textAlignment w:val="auto"/>
        <w:rPr>
          <w:rFonts w:hint="eastAsia" w:ascii="仿宋_GB2312" w:hAnsi="Calibri" w:eastAsia="仿宋_GB2312" w:cs="仿宋"/>
          <w:color w:val="auto"/>
          <w:kern w:val="0"/>
          <w:sz w:val="32"/>
          <w:szCs w:val="32"/>
          <w:highlight w:val="none"/>
          <w:lang w:val="en-US" w:eastAsia="zh-CN" w:bidi="ar-SA"/>
        </w:rPr>
      </w:pPr>
    </w:p>
    <w:bookmarkEnd w:id="52"/>
    <w:bookmarkEnd w:id="53"/>
    <w:p w14:paraId="20193432">
      <w:pPr>
        <w:pageBreakBefore w:val="0"/>
        <w:kinsoku/>
        <w:wordWrap/>
        <w:overflowPunct/>
        <w:topLinePunct w:val="0"/>
        <w:bidi w:val="0"/>
        <w:snapToGrid/>
        <w:spacing w:line="600" w:lineRule="exact"/>
        <w:jc w:val="both"/>
        <w:textAlignment w:val="auto"/>
        <w:outlineLvl w:val="0"/>
        <w:rPr>
          <w:rFonts w:hint="eastAsia" w:ascii="黑体" w:hAnsi="黑体" w:eastAsia="黑体"/>
          <w:color w:val="auto"/>
          <w:sz w:val="44"/>
          <w:szCs w:val="44"/>
          <w:highlight w:val="none"/>
          <w:lang w:eastAsia="zh-CN"/>
        </w:rPr>
      </w:pPr>
    </w:p>
    <w:sectPr>
      <w:footerReference r:id="rId10" w:type="first"/>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788D51C4">
        <w:pPr>
          <w:pStyle w:val="8"/>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06973635">
    <w:pPr>
      <w:pStyle w:val="8"/>
      <w:tabs>
        <w:tab w:val="right" w:pos="9184"/>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A2F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5B58">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3DBB6">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23DBB6">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823A">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6F5EB8BF">
                              <w:pPr>
                                <w:pStyle w:val="8"/>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14:paraId="14F41BF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6F5EB8BF">
                        <w:pPr>
                          <w:pStyle w:val="8"/>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14:paraId="14F41BFD"/>
                </w:txbxContent>
              </v:textbox>
            </v:shape>
          </w:pict>
        </mc:Fallback>
      </mc:AlternateContent>
    </w:r>
  </w:p>
  <w:p w14:paraId="307F816E">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4D4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A897F">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8A897F">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5CB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F82F">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9BDA">
    <w:pPr>
      <w:pStyle w:val="9"/>
      <w:pBdr>
        <w:bottom w:val="none" w:color="auto" w:sz="0" w:space="0"/>
      </w:pBdr>
      <w:rPr>
        <w:color w:val="4BACC6" w:themeColor="accent5"/>
        <w14:textFill>
          <w14:solidFill>
            <w14:schemeClr w14:val="accent5"/>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50EC5EC"/>
    <w:multiLevelType w:val="singleLevel"/>
    <w:tmpl w:val="050EC5E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zlmODcxMzc5ODBjMTBlM2YxMGI3ZWM2M2ViY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E07A24"/>
    <w:rsid w:val="06352534"/>
    <w:rsid w:val="0679427F"/>
    <w:rsid w:val="06A91CB6"/>
    <w:rsid w:val="06D51253"/>
    <w:rsid w:val="08492909"/>
    <w:rsid w:val="08777D30"/>
    <w:rsid w:val="08AF5C17"/>
    <w:rsid w:val="0A2032A3"/>
    <w:rsid w:val="0A8F3F52"/>
    <w:rsid w:val="0B8A37D8"/>
    <w:rsid w:val="0BBB3F60"/>
    <w:rsid w:val="0DE87C01"/>
    <w:rsid w:val="0F0A768C"/>
    <w:rsid w:val="10C055FF"/>
    <w:rsid w:val="118107EC"/>
    <w:rsid w:val="11B30526"/>
    <w:rsid w:val="11DD6519"/>
    <w:rsid w:val="13293DF2"/>
    <w:rsid w:val="157065E8"/>
    <w:rsid w:val="157E7936"/>
    <w:rsid w:val="16BB723D"/>
    <w:rsid w:val="18015F3F"/>
    <w:rsid w:val="1BE8440E"/>
    <w:rsid w:val="1D155CEE"/>
    <w:rsid w:val="1E716557"/>
    <w:rsid w:val="1EED270D"/>
    <w:rsid w:val="201B5C14"/>
    <w:rsid w:val="20B50EC9"/>
    <w:rsid w:val="20F57F95"/>
    <w:rsid w:val="232A73DC"/>
    <w:rsid w:val="240371BF"/>
    <w:rsid w:val="24AC53F6"/>
    <w:rsid w:val="25711CC6"/>
    <w:rsid w:val="25C741E6"/>
    <w:rsid w:val="26094761"/>
    <w:rsid w:val="26380648"/>
    <w:rsid w:val="27842671"/>
    <w:rsid w:val="29F37B5C"/>
    <w:rsid w:val="29FD04D3"/>
    <w:rsid w:val="2ABE7A3E"/>
    <w:rsid w:val="2CA234A8"/>
    <w:rsid w:val="2EFA178C"/>
    <w:rsid w:val="30B46D73"/>
    <w:rsid w:val="310F699B"/>
    <w:rsid w:val="319F7F4E"/>
    <w:rsid w:val="340C008A"/>
    <w:rsid w:val="36CF10AF"/>
    <w:rsid w:val="383D272C"/>
    <w:rsid w:val="39AE70AB"/>
    <w:rsid w:val="3ADE2ED0"/>
    <w:rsid w:val="3C0C0783"/>
    <w:rsid w:val="3CE26753"/>
    <w:rsid w:val="3D042ABE"/>
    <w:rsid w:val="3E562F1D"/>
    <w:rsid w:val="3E630A5B"/>
    <w:rsid w:val="3F9F3A96"/>
    <w:rsid w:val="419F06BF"/>
    <w:rsid w:val="43106CD7"/>
    <w:rsid w:val="46B952E9"/>
    <w:rsid w:val="48BF60AB"/>
    <w:rsid w:val="48D05D45"/>
    <w:rsid w:val="493C27E9"/>
    <w:rsid w:val="496F39ED"/>
    <w:rsid w:val="49FF41D3"/>
    <w:rsid w:val="4B026252"/>
    <w:rsid w:val="4BE068DB"/>
    <w:rsid w:val="4BF6002B"/>
    <w:rsid w:val="4D907218"/>
    <w:rsid w:val="4DAC3FB3"/>
    <w:rsid w:val="4EC46C0F"/>
    <w:rsid w:val="4ECE2238"/>
    <w:rsid w:val="51DA7901"/>
    <w:rsid w:val="51DB4B86"/>
    <w:rsid w:val="52CB0AA7"/>
    <w:rsid w:val="53C35F16"/>
    <w:rsid w:val="55333C3E"/>
    <w:rsid w:val="56C62F15"/>
    <w:rsid w:val="56DF32BB"/>
    <w:rsid w:val="57602A7E"/>
    <w:rsid w:val="578C0BCA"/>
    <w:rsid w:val="58E73AE2"/>
    <w:rsid w:val="5B2564CA"/>
    <w:rsid w:val="5B3B68B4"/>
    <w:rsid w:val="5B683BE3"/>
    <w:rsid w:val="5BB47F86"/>
    <w:rsid w:val="5E190CDE"/>
    <w:rsid w:val="601E25DC"/>
    <w:rsid w:val="62336DAB"/>
    <w:rsid w:val="63471E49"/>
    <w:rsid w:val="638147CB"/>
    <w:rsid w:val="64734D73"/>
    <w:rsid w:val="64CA39A1"/>
    <w:rsid w:val="6612673F"/>
    <w:rsid w:val="680C2FBF"/>
    <w:rsid w:val="68F96DB8"/>
    <w:rsid w:val="69630ADE"/>
    <w:rsid w:val="6C4A05C8"/>
    <w:rsid w:val="6D3B1A89"/>
    <w:rsid w:val="6D53544A"/>
    <w:rsid w:val="6F3E7AA0"/>
    <w:rsid w:val="710F2F9F"/>
    <w:rsid w:val="71BF4EC2"/>
    <w:rsid w:val="72734D90"/>
    <w:rsid w:val="729046D3"/>
    <w:rsid w:val="72E74AAA"/>
    <w:rsid w:val="73ED5DA0"/>
    <w:rsid w:val="7412278C"/>
    <w:rsid w:val="741329C0"/>
    <w:rsid w:val="75A2302E"/>
    <w:rsid w:val="75A66E6C"/>
    <w:rsid w:val="79E7B28D"/>
    <w:rsid w:val="7C501917"/>
    <w:rsid w:val="7D670F6B"/>
    <w:rsid w:val="7D77410E"/>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91"/>
    <w:basedOn w:val="13"/>
    <w:qFormat/>
    <w:uiPriority w:val="0"/>
    <w:rPr>
      <w:rFonts w:ascii="等线" w:hAnsi="等线" w:eastAsia="等线" w:cs="等线"/>
      <w:color w:val="000000"/>
      <w:sz w:val="16"/>
      <w:szCs w:val="16"/>
      <w:u w:val="none"/>
    </w:rPr>
  </w:style>
  <w:style w:type="character" w:customStyle="1" w:styleId="31">
    <w:name w:val="font51"/>
    <w:basedOn w:val="13"/>
    <w:qFormat/>
    <w:uiPriority w:val="0"/>
    <w:rPr>
      <w:rFonts w:hint="eastAsia" w:ascii="微软雅黑" w:hAnsi="微软雅黑" w:eastAsia="微软雅黑" w:cs="微软雅黑"/>
      <w:i/>
      <w:iCs/>
      <w:color w:val="000000"/>
      <w:sz w:val="16"/>
      <w:szCs w:val="16"/>
      <w:u w:val="none"/>
    </w:rPr>
  </w:style>
  <w:style w:type="character" w:customStyle="1" w:styleId="32">
    <w:name w:val="font81"/>
    <w:basedOn w:val="13"/>
    <w:qFormat/>
    <w:uiPriority w:val="0"/>
    <w:rPr>
      <w:rFonts w:hint="eastAsia" w:ascii="微软雅黑" w:hAnsi="微软雅黑" w:eastAsia="微软雅黑" w:cs="微软雅黑"/>
      <w:i/>
      <w:iCs/>
      <w:color w:val="000000"/>
      <w:sz w:val="16"/>
      <w:szCs w:val="16"/>
      <w:u w:val="none"/>
    </w:rPr>
  </w:style>
  <w:style w:type="character" w:customStyle="1" w:styleId="33">
    <w:name w:val="font112"/>
    <w:basedOn w:val="13"/>
    <w:qFormat/>
    <w:uiPriority w:val="0"/>
    <w:rPr>
      <w:rFonts w:ascii="等线" w:hAnsi="等线" w:eastAsia="等线" w:cs="等线"/>
      <w:color w:val="000000"/>
      <w:sz w:val="16"/>
      <w:szCs w:val="16"/>
      <w:u w:val="none"/>
    </w:rPr>
  </w:style>
  <w:style w:type="paragraph" w:customStyle="1" w:styleId="34">
    <w:name w:val="正文2"/>
    <w:basedOn w:val="1"/>
    <w:next w:val="1"/>
    <w:qFormat/>
    <w:uiPriority w:val="99"/>
    <w:rPr>
      <w:rFonts w:ascii="??_GB2312" w:eastAsia="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defRPr>
            </a:pPr>
            <a:r>
              <a:rPr lang="zh-CN" altLang="en-US" sz="1080">
                <a:solidFill>
                  <a:schemeClr val="tx1"/>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rPr>
              <a:t>单位：万元</a:t>
            </a:r>
            <a:endParaRPr lang="zh-CN" altLang="en-US" sz="1080">
              <a:solidFill>
                <a:schemeClr val="tx1"/>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endParaRPr>
          </a:p>
        </c:rich>
      </c:tx>
      <c:layout>
        <c:manualLayout>
          <c:xMode val="edge"/>
          <c:yMode val="edge"/>
          <c:x val="0.828375873003978"/>
          <c:y val="0.0467047223663726"/>
        </c:manualLayout>
      </c:layout>
      <c:overlay val="0"/>
      <c:spPr>
        <a:noFill/>
        <a:ln>
          <a:noFill/>
        </a:ln>
        <a:effectLst/>
      </c:spPr>
    </c:title>
    <c:autoTitleDeleted val="0"/>
    <c:plotArea>
      <c:layout/>
      <c:barChart>
        <c:barDir val="col"/>
        <c:grouping val="clustered"/>
        <c:varyColors val="0"/>
        <c:ser>
          <c:idx val="0"/>
          <c:order val="0"/>
          <c:spPr>
            <a:solidFill>
              <a:schemeClr val="accent6"/>
            </a:solidFill>
            <a:ln>
              <a:noFill/>
            </a:ln>
            <a:sp3d>
              <a:extrusionClr>
                <a:srgbClr val="FFFFFF"/>
              </a:extrusionClr>
              <a:contourClr>
                <a:srgbClr val="FFFFFF"/>
              </a:contourClr>
            </a:sp3d>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2022年</c:v>
                </c:pt>
              </c:strCache>
            </c:strRef>
          </c:cat>
          <c:val>
            <c:numRef>
              <c:f>Sheet1!$B$2:$B$3</c:f>
              <c:numCache>
                <c:formatCode>#,##0.00_ </c:formatCode>
                <c:ptCount val="2"/>
                <c:pt idx="0">
                  <c:v>7099.19</c:v>
                </c:pt>
                <c:pt idx="1">
                  <c:v>6396.73</c:v>
                </c:pt>
              </c:numCache>
            </c:numRef>
          </c:val>
        </c:ser>
        <c:dLbls>
          <c:showLegendKey val="0"/>
          <c:showVal val="1"/>
          <c:showCatName val="0"/>
          <c:showSerName val="0"/>
          <c:showPercent val="0"/>
          <c:showBubbleSize val="0"/>
        </c:dLbls>
        <c:gapWidth val="219"/>
        <c:overlap val="-27"/>
        <c:axId val="145407360"/>
        <c:axId val="145417344"/>
      </c:barChart>
      <c:catAx>
        <c:axId val="145407360"/>
        <c:scaling>
          <c:orientation val="minMax"/>
        </c:scaling>
        <c:delete val="0"/>
        <c:axPos val="b"/>
        <c:majorTickMark val="out"/>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417344"/>
        <c:crosses val="autoZero"/>
        <c:auto val="1"/>
        <c:lblAlgn val="ctr"/>
        <c:lblOffset val="100"/>
        <c:noMultiLvlLbl val="0"/>
      </c:catAx>
      <c:valAx>
        <c:axId val="145417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40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0534011443103"/>
          <c:y val="0.28998968008256"/>
          <c:w val="0.433566433566434"/>
          <c:h val="0.703818369453044"/>
        </c:manualLayout>
      </c:layout>
      <c:pieChart>
        <c:varyColors val="1"/>
        <c:ser>
          <c:idx val="0"/>
          <c:order val="0"/>
          <c:tx>
            <c:strRef>
              <c:f>Sheet1!$B$1</c:f>
              <c:strCache>
                <c:ptCount val="1"/>
                <c:pt idx="0">
                  <c:v>销售额</c:v>
                </c:pt>
              </c:strCache>
            </c:strRef>
          </c:tx>
          <c:spPr>
            <a:gradFill>
              <a:gsLst>
                <a:gs pos="0">
                  <a:srgbClr val="FBFB11"/>
                </a:gs>
                <a:gs pos="100000">
                  <a:srgbClr val="838309"/>
                </a:gs>
              </a:gsLst>
              <a:lin scaled="0"/>
            </a:gradFill>
          </c:spPr>
          <c:explosion val="0"/>
          <c:dPt>
            <c:idx val="0"/>
            <c:bubble3D val="0"/>
            <c:spPr>
              <a:solidFill>
                <a:srgbClr val="00B050"/>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6396.73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ayout>
        <c:manualLayout>
          <c:xMode val="edge"/>
          <c:yMode val="edge"/>
          <c:x val="0.186819904633818"/>
          <c:y val="0.902893890675241"/>
          <c:w val="0.333781635896809"/>
          <c:h val="0.07138263665594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olidFill>
              <a:srgbClr val="00B050"/>
            </a:solidFill>
          </c:spPr>
          <c:explosion val="0"/>
          <c:dPt>
            <c:idx val="0"/>
            <c:bubble3D val="0"/>
            <c:spPr>
              <a:solidFill>
                <a:srgbClr val="FFC000"/>
              </a:soli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solidFill>
                <a:srgbClr val="0070C0"/>
              </a:soli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44.9%</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
                  <c:y val="-0.0033333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55.1%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3187.79</c:v>
                </c:pt>
                <c:pt idx="1">
                  <c:v>3911.4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33521162033559"/>
          <c:y val="0.9182432432432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defRPr>
            </a:pPr>
            <a:r>
              <a:rPr lang="zh-CN" altLang="en-US" sz="1050">
                <a:solidFill>
                  <a:sysClr val="windowText" lastClr="000000"/>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rPr>
              <a:t>单位：万元</a:t>
            </a:r>
            <a:endParaRPr lang="zh-CN" altLang="en-US" sz="1050">
              <a:solidFill>
                <a:sysClr val="windowText" lastClr="000000"/>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endParaRPr>
          </a:p>
        </c:rich>
      </c:tx>
      <c:layout>
        <c:manualLayout>
          <c:xMode val="edge"/>
          <c:yMode val="edge"/>
          <c:x val="0.808668896549048"/>
          <c:y val="0.0499144324015975"/>
        </c:manualLayout>
      </c:layout>
      <c:overlay val="0"/>
      <c:spPr>
        <a:noFill/>
        <a:ln>
          <a:noFill/>
        </a:ln>
        <a:effectLst/>
      </c:spPr>
    </c:title>
    <c:autoTitleDeleted val="0"/>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92D050"/>
              </a:solidFill>
              <a:ln>
                <a:noFill/>
              </a:ln>
              <a:effectLst/>
            </c:spPr>
          </c:dPt>
          <c:dPt>
            <c:idx val="1"/>
            <c:invertIfNegative val="0"/>
            <c:bubble3D val="0"/>
            <c:spPr>
              <a:solidFill>
                <a:srgbClr val="92D05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#,##0.00_ </c:formatCode>
                <c:ptCount val="2"/>
                <c:pt idx="0">
                  <c:v>7099.19</c:v>
                </c:pt>
                <c:pt idx="1">
                  <c:v>6396.73</c:v>
                </c:pt>
              </c:numCache>
            </c:numRef>
          </c:val>
        </c:ser>
        <c:dLbls>
          <c:showLegendKey val="0"/>
          <c:showVal val="1"/>
          <c:showCatName val="0"/>
          <c:showSerName val="0"/>
          <c:showPercent val="0"/>
          <c:showBubbleSize val="0"/>
        </c:dLbls>
        <c:gapWidth val="219"/>
        <c:overlap val="-27"/>
        <c:axId val="147257984"/>
        <c:axId val="148705664"/>
      </c:barChart>
      <c:catAx>
        <c:axId val="14725798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crossAx val="148705664"/>
        <c:crosses val="autoZero"/>
        <c:auto val="0"/>
        <c:lblAlgn val="ctr"/>
        <c:lblOffset val="100"/>
        <c:noMultiLvlLbl val="0"/>
      </c:catAx>
      <c:valAx>
        <c:axId val="14870566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crossAx val="14725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r>
              <a:rPr lang="zh-CN" altLang="en-US" sz="900">
                <a:solidFill>
                  <a:sysClr val="windowText" lastClr="000000"/>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rPr>
              <a:t>单位：万元</a:t>
            </a:r>
            <a:endParaRPr lang="zh-CN" altLang="en-US" sz="900">
              <a:solidFill>
                <a:sysClr val="windowText" lastClr="000000"/>
              </a:solidFill>
              <a:latin typeface="方正楷体_GBK" panose="03000509000000000000" pitchFamily="65" charset="-122"/>
              <a:ea typeface="方正楷体_GBK" panose="03000509000000000000" pitchFamily="65" charset="-122"/>
              <a:cs typeface="方正楷体简体" panose="03000509000000000000" charset="-122"/>
              <a:sym typeface="方正楷体简体" panose="03000509000000000000" charset="-122"/>
            </a:endParaRPr>
          </a:p>
        </c:rich>
      </c:tx>
      <c:layout>
        <c:manualLayout>
          <c:xMode val="edge"/>
          <c:yMode val="edge"/>
          <c:x val="0.788326857984255"/>
          <c:y val="0.0284230118389344"/>
        </c:manualLayout>
      </c:layout>
      <c:overlay val="0"/>
      <c:spPr>
        <a:noFill/>
        <a:ln>
          <a:noFill/>
        </a:ln>
        <a:effectLst/>
      </c:spPr>
    </c:title>
    <c:autoTitleDeleted val="0"/>
    <c:plotArea>
      <c:layout>
        <c:manualLayout>
          <c:layoutTarget val="inner"/>
          <c:xMode val="edge"/>
          <c:yMode val="edge"/>
          <c:x val="0.100608922579843"/>
          <c:y val="0.026661514683153"/>
          <c:w val="0.863352802286566"/>
          <c:h val="0.782921174652241"/>
        </c:manualLayout>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#,##0.00_ </c:formatCode>
                <c:ptCount val="2"/>
                <c:pt idx="0">
                  <c:v>7099.19</c:v>
                </c:pt>
                <c:pt idx="1">
                  <c:v>6396.73</c:v>
                </c:pt>
              </c:numCache>
            </c:numRef>
          </c:val>
        </c:ser>
        <c:dLbls>
          <c:showLegendKey val="0"/>
          <c:showVal val="1"/>
          <c:showCatName val="0"/>
          <c:showSerName val="0"/>
          <c:showPercent val="0"/>
          <c:showBubbleSize val="0"/>
        </c:dLbls>
        <c:gapWidth val="219"/>
        <c:overlap val="-27"/>
        <c:axId val="148747008"/>
        <c:axId val="148748544"/>
      </c:barChart>
      <c:catAx>
        <c:axId val="148747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crossAx val="148748544"/>
        <c:crosses val="autoZero"/>
        <c:auto val="1"/>
        <c:lblAlgn val="ctr"/>
        <c:lblOffset val="100"/>
        <c:noMultiLvlLbl val="0"/>
      </c:catAx>
      <c:valAx>
        <c:axId val="14874854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crossAx val="14874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olidFill>
              <a:srgbClr val="FFC000"/>
            </a:solidFill>
          </c:spPr>
          <c:explosion val="0"/>
          <c:dPt>
            <c:idx val="0"/>
            <c:bubble3D val="0"/>
            <c:spPr>
              <a:solidFill>
                <a:schemeClr val="accent6"/>
              </a:solidFill>
              <a:ln w="19050">
                <a:solidFill>
                  <a:schemeClr val="lt1"/>
                </a:solidFill>
              </a:ln>
              <a:effectLst/>
            </c:spPr>
          </c:dPt>
          <c:dPt>
            <c:idx val="1"/>
            <c:bubble3D val="0"/>
            <c:spPr>
              <a:solidFill>
                <a:srgbClr val="7030A0"/>
              </a:solidFill>
              <a:ln w="19050">
                <a:solidFill>
                  <a:schemeClr val="lt1"/>
                </a:solidFill>
              </a:ln>
              <a:effectLst/>
            </c:spPr>
          </c:dPt>
          <c:dPt>
            <c:idx val="2"/>
            <c:bubble3D val="0"/>
            <c:spPr>
              <a:solidFill>
                <a:srgbClr val="FFC000"/>
              </a:solidFill>
              <a:ln w="19050">
                <a:solidFill>
                  <a:schemeClr val="lt1"/>
                </a:solidFill>
              </a:ln>
              <a:effectLst/>
            </c:spPr>
          </c:dPt>
          <c:dPt>
            <c:idx val="3"/>
            <c:bubble3D val="0"/>
            <c:spPr>
              <a:solidFill>
                <a:schemeClr val="accent1"/>
              </a:solidFill>
              <a:ln w="19050">
                <a:solidFill>
                  <a:schemeClr val="lt1"/>
                </a:solidFill>
              </a:ln>
              <a:effectLst/>
            </c:spPr>
          </c:dPt>
          <c:dPt>
            <c:idx val="4"/>
            <c:bubble3D val="0"/>
            <c:spPr>
              <a:solidFill>
                <a:srgbClr val="00B0F0"/>
              </a:solidFill>
              <a:ln w="19050">
                <a:solidFill>
                  <a:schemeClr val="lt1"/>
                </a:solidFill>
              </a:ln>
              <a:effectLst/>
            </c:spPr>
          </c:dPt>
          <c:dLbls>
            <c:dLbl>
              <c:idx val="0"/>
              <c:layout>
                <c:manualLayout>
                  <c:x val="0.125767544831049"/>
                  <c:y val="0.003105590062111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r>
                      <a:rPr lang="zh-CN" altLang="en-US"/>
                      <a:t>一般公共服务
</a:t>
                    </a:r>
                    <a:r>
                      <a:rPr lang="en-US" altLang="zh-CN"/>
                      <a:t>2.95%</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0996555410381"/>
                      <c:h val="0.13698296836983"/>
                    </c:manualLayout>
                  </c15:layout>
                </c:ext>
              </c:extLst>
            </c:dLbl>
            <c:dLbl>
              <c:idx val="1"/>
              <c:layout>
                <c:manualLayout>
                  <c:x val="0.177465396431374"/>
                  <c:y val="0.119352787424154"/>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r>
                      <a:rPr lang="zh-CN" altLang="en-US"/>
                      <a:t>教育支出
</a:t>
                    </a:r>
                    <a:r>
                      <a:rPr lang="en-US" altLang="zh-CN"/>
                      <a:t>1.26%</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9111316153625"/>
                  <c:y val="-0.1023246546029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r>
                      <a:t>社会保障和就业87.</a:t>
                    </a:r>
                    <a:r>
                      <a:rPr lang="en-US" altLang="zh-CN"/>
                      <a:t>96</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7903551490676"/>
                      <c:h val="0.154987834549878"/>
                    </c:manualLayout>
                  </c15:layout>
                </c:ext>
              </c:extLst>
            </c:dLbl>
            <c:dLbl>
              <c:idx val="3"/>
              <c:layout>
                <c:manualLayout>
                  <c:x val="-0.0764563474412941"/>
                  <c:y val="0.073223814515799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r>
                      <a:rPr lang="zh-CN" altLang="en-US"/>
                      <a:t>卫生健康支出
</a:t>
                    </a:r>
                    <a:r>
                      <a:rPr lang="en-US" altLang="zh-CN"/>
                      <a:t>2.41%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4754696580619"/>
                      <c:h val="0.135244922341697"/>
                    </c:manualLayout>
                  </c15:layout>
                </c:ext>
              </c:extLst>
            </c:dLbl>
            <c:dLbl>
              <c:idx val="4"/>
              <c:layout>
                <c:manualLayout>
                  <c:x val="-0.0814768548465956"/>
                  <c:y val="0"/>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r>
                      <a:rPr lang="zh-CN" altLang="en-US"/>
                      <a:t>住房保障支出
</a:t>
                    </a:r>
                    <a:r>
                      <a:rPr lang="en-US" altLang="zh-CN"/>
                      <a:t>5.42%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教育支出</c:v>
                </c:pt>
                <c:pt idx="2">
                  <c:v>社会保障和就业</c:v>
                </c:pt>
                <c:pt idx="3">
                  <c:v>卫生健康支出</c:v>
                </c:pt>
                <c:pt idx="4">
                  <c:v>住房保障支出</c:v>
                </c:pt>
              </c:strCache>
            </c:strRef>
          </c:cat>
          <c:val>
            <c:numRef>
              <c:f>Sheet1!$B$2:$B$6</c:f>
              <c:numCache>
                <c:formatCode>General</c:formatCode>
                <c:ptCount val="5"/>
                <c:pt idx="0">
                  <c:v>174.88</c:v>
                </c:pt>
                <c:pt idx="1">
                  <c:v>122.45</c:v>
                </c:pt>
                <c:pt idx="2">
                  <c:v>5577.46</c:v>
                </c:pt>
                <c:pt idx="3">
                  <c:v>151.72</c:v>
                </c:pt>
                <c:pt idx="4">
                  <c:v>370.42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4"/>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olidFill>
              <a:schemeClr val="accent5"/>
            </a:solidFill>
          </c:spPr>
          <c:explosion val="0"/>
          <c:dPt>
            <c:idx val="0"/>
            <c:bubble3D val="0"/>
            <c:spPr>
              <a:solidFill>
                <a:schemeClr val="accent6">
                  <a:lumMod val="75000"/>
                </a:schemeClr>
              </a:solidFill>
              <a:ln w="19050">
                <a:solidFill>
                  <a:schemeClr val="lt1"/>
                </a:solidFill>
              </a:ln>
              <a:effectLst/>
            </c:spPr>
          </c:dPt>
          <c:dPt>
            <c:idx val="1"/>
            <c:bubble3D val="0"/>
            <c:spPr>
              <a:solidFill>
                <a:schemeClr val="accent5"/>
              </a:solidFill>
              <a:ln w="19050">
                <a:solidFill>
                  <a:schemeClr val="lt1"/>
                </a:solidFill>
              </a:ln>
              <a:effectLst/>
            </c:spPr>
          </c:dPt>
          <c:dLbls>
            <c:dLbl>
              <c:idx val="0"/>
              <c:layout>
                <c:manualLayout>
                  <c:x val="0.241038318912237"/>
                  <c:y val="-0.1281777397991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14118990556703"/>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23.91</c:v>
                </c:pt>
                <c:pt idx="1">
                  <c:v>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10616</Words>
  <Characters>13642</Characters>
  <Lines>61</Lines>
  <Paragraphs>17</Paragraphs>
  <TotalTime>8</TotalTime>
  <ScaleCrop>false</ScaleCrop>
  <LinksUpToDate>false</LinksUpToDate>
  <CharactersWithSpaces>13666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2023-08-25T02:01:00Z</cp:lastPrinted>
  <dcterms:modified xsi:type="dcterms:W3CDTF">2024-09-05T00:53:18Z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74470C3010B84147913424EC536BD1AB_12</vt:lpwstr>
  </property>
</Properties>
</file>