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宋体" w:eastAsia="方正小标宋简体" w:cs="Times New Roman"/>
          <w:color w:val="auto"/>
          <w:kern w:val="2"/>
          <w:sz w:val="44"/>
          <w:szCs w:val="44"/>
          <w:highlight w:val="none"/>
          <w:lang w:val="en-US" w:eastAsia="zh-CN" w:bidi="ar-SA"/>
        </w:rPr>
      </w:pPr>
    </w:p>
    <w:p>
      <w:pPr>
        <w:pStyle w:val="2"/>
        <w:jc w:val="center"/>
        <w:rPr>
          <w:rFonts w:hint="eastAsia" w:ascii="方正小标宋简体" w:hAnsi="宋体" w:eastAsia="方正小标宋简体" w:cs="Times New Roman"/>
          <w:color w:val="auto"/>
          <w:kern w:val="2"/>
          <w:sz w:val="72"/>
          <w:szCs w:val="72"/>
          <w:highlight w:val="none"/>
          <w:lang w:val="en-US" w:eastAsia="zh-CN" w:bidi="ar-SA"/>
        </w:rPr>
      </w:pPr>
    </w:p>
    <w:p>
      <w:pPr>
        <w:pStyle w:val="2"/>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2023年度</w:t>
      </w:r>
    </w:p>
    <w:p>
      <w:pPr>
        <w:pStyle w:val="2"/>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四川省成都军供站</w:t>
      </w:r>
    </w:p>
    <w:p>
      <w:pPr>
        <w:pStyle w:val="2"/>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单位决算</w:t>
      </w:r>
    </w:p>
    <w:p>
      <w:pPr>
        <w:widowControl/>
        <w:jc w:val="center"/>
        <w:rPr>
          <w:rFonts w:hint="eastAsia" w:ascii="黑体" w:hAnsi="黑体" w:eastAsia="黑体"/>
          <w:color w:val="auto"/>
          <w:sz w:val="72"/>
          <w:szCs w:val="72"/>
          <w:highlight w:val="none"/>
        </w:rPr>
        <w:sectPr>
          <w:footerReference r:id="rId3" w:type="default"/>
          <w:pgSz w:w="11906" w:h="16838"/>
          <w:pgMar w:top="2098" w:right="1474" w:bottom="1984" w:left="1587" w:header="851" w:footer="992" w:gutter="0"/>
          <w:pgNumType w:fmt="decimal" w:start="1"/>
          <w:cols w:space="720"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imes New Roman"/>
          <w:color w:val="auto"/>
          <w:sz w:val="28"/>
          <w:szCs w:val="28"/>
          <w:highlight w:val="none"/>
        </w:rPr>
      </w:pPr>
    </w:p>
    <w:p>
      <w:pPr>
        <w:pStyle w:val="8"/>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 13</w:t>
      </w:r>
      <w:r>
        <w:rPr>
          <w:rFonts w:hint="eastAsia"/>
          <w:color w:val="auto"/>
          <w:highlight w:val="none"/>
        </w:rPr>
        <w:t>日</w:t>
      </w:r>
    </w:p>
    <w:p>
      <w:pPr>
        <w:pStyle w:val="8"/>
        <w:tabs>
          <w:tab w:val="right" w:leader="hyphen" w:pos="8845"/>
          <w:tab w:val="clear" w:pos="8296"/>
        </w:tabs>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auto"/>
          <w:sz w:val="32"/>
          <w:szCs w:val="32"/>
          <w:highlight w:val="none"/>
        </w:rPr>
        <w:fldChar w:fldCharType="begin"/>
      </w:r>
      <w:r>
        <w:rPr>
          <w:rFonts w:hint="eastAsia" w:ascii="方正仿宋简体" w:hAnsi="方正仿宋简体" w:eastAsia="方正仿宋简体" w:cs="方正仿宋简体"/>
          <w:b/>
          <w:color w:val="auto"/>
          <w:sz w:val="32"/>
          <w:szCs w:val="32"/>
          <w:highlight w:val="none"/>
        </w:rPr>
        <w:instrText xml:space="preserve">TOC \o "1-3" \h \u </w:instrText>
      </w:r>
      <w:r>
        <w:rPr>
          <w:rFonts w:hint="eastAsia" w:ascii="方正仿宋简体" w:hAnsi="方正仿宋简体" w:eastAsia="方正仿宋简体" w:cs="方正仿宋简体"/>
          <w:b/>
          <w:color w:val="auto"/>
          <w:sz w:val="32"/>
          <w:szCs w:val="32"/>
          <w:highlight w:val="none"/>
        </w:rPr>
        <w:fldChar w:fldCharType="separate"/>
      </w:r>
      <w:r>
        <w:rPr>
          <w:rFonts w:hint="eastAsia" w:ascii="方正仿宋简体" w:hAnsi="方正仿宋简体" w:eastAsia="方正仿宋简体" w:cs="方正仿宋简体"/>
          <w:color w:val="auto"/>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_Toc3388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color w:val="auto"/>
          <w:sz w:val="32"/>
          <w:szCs w:val="32"/>
          <w:highlight w:val="none"/>
        </w:rPr>
        <w:fldChar w:fldCharType="end"/>
      </w:r>
    </w:p>
    <w:p>
      <w:pPr>
        <w:pStyle w:val="8"/>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_Toc6275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 xml:space="preserve">第一部分 </w:t>
      </w:r>
      <w:r>
        <w:rPr>
          <w:rFonts w:hint="eastAsia" w:ascii="Times New Roman" w:hAnsi="Times New Roman" w:eastAsia="方正仿宋简体" w:cs="方正仿宋简体"/>
          <w:sz w:val="32"/>
          <w:szCs w:val="32"/>
          <w:highlight w:val="none"/>
          <w:lang w:eastAsia="zh-CN"/>
        </w:rPr>
        <w:t>单位</w:t>
      </w:r>
      <w:r>
        <w:rPr>
          <w:rFonts w:hint="eastAsia" w:ascii="Times New Roman" w:hAnsi="Times New Roman" w:eastAsia="方正仿宋简体" w:cs="方正仿宋简体"/>
          <w:bCs w:val="0"/>
          <w:sz w:val="32"/>
          <w:szCs w:val="32"/>
          <w:highlight w:val="none"/>
        </w:rPr>
        <w:t>概况</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_Toc6275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_Toc5708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lang w:eastAsia="zh-CN"/>
        </w:rPr>
        <w:t xml:space="preserve">一、 </w:t>
      </w:r>
      <w:r>
        <w:rPr>
          <w:rFonts w:hint="eastAsia" w:ascii="Times New Roman" w:hAnsi="Times New Roman" w:eastAsia="方正仿宋简体" w:cs="方正仿宋简体"/>
          <w:bCs w:val="0"/>
          <w:sz w:val="32"/>
          <w:szCs w:val="32"/>
          <w:highlight w:val="none"/>
          <w:lang w:eastAsia="zh-CN"/>
        </w:rPr>
        <w:t>主要职责</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_Toc5708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_Toc25223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lang w:val="en-US" w:eastAsia="zh-CN"/>
        </w:rPr>
        <w:t xml:space="preserve">二、 </w:t>
      </w:r>
      <w:r>
        <w:rPr>
          <w:rFonts w:hint="eastAsia" w:ascii="Times New Roman" w:hAnsi="Times New Roman" w:eastAsia="方正仿宋简体" w:cs="方正仿宋简体"/>
          <w:bCs w:val="0"/>
          <w:sz w:val="32"/>
          <w:szCs w:val="32"/>
          <w:highlight w:val="none"/>
          <w:lang w:val="en-US" w:eastAsia="zh-CN"/>
        </w:rPr>
        <w:t>机构设置</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_Toc25223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8"/>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_Toc32711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sz w:val="32"/>
          <w:szCs w:val="32"/>
          <w:highlight w:val="none"/>
        </w:rPr>
        <w:t xml:space="preserve">第二部分 </w:t>
      </w:r>
      <w:r>
        <w:rPr>
          <w:rFonts w:hint="eastAsia" w:ascii="Times New Roman" w:hAnsi="Times New Roman" w:eastAsia="方正仿宋简体" w:cs="方正仿宋简体"/>
          <w:bCs/>
          <w:sz w:val="32"/>
          <w:szCs w:val="32"/>
          <w:highlight w:val="none"/>
          <w:lang w:val="en-US" w:eastAsia="zh-CN"/>
        </w:rPr>
        <w:t>2023年度</w:t>
      </w:r>
      <w:r>
        <w:rPr>
          <w:rFonts w:hint="eastAsia" w:ascii="Times New Roman" w:hAnsi="Times New Roman" w:eastAsia="方正仿宋简体" w:cs="方正仿宋简体"/>
          <w:bCs/>
          <w:sz w:val="32"/>
          <w:szCs w:val="32"/>
          <w:highlight w:val="none"/>
          <w:lang w:eastAsia="zh-CN"/>
        </w:rPr>
        <w:t>单位</w:t>
      </w:r>
      <w:r>
        <w:rPr>
          <w:rFonts w:hint="eastAsia" w:ascii="Times New Roman" w:hAnsi="Times New Roman" w:eastAsia="方正仿宋简体" w:cs="方正仿宋简体"/>
          <w:bCs/>
          <w:sz w:val="32"/>
          <w:szCs w:val="32"/>
          <w:highlight w:val="none"/>
        </w:rPr>
        <w:t>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_Toc32711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_Toc27170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lang w:eastAsia="zh-CN"/>
        </w:rPr>
        <w:t>一、</w:t>
      </w:r>
      <w:r>
        <w:rPr>
          <w:rFonts w:hint="eastAsia" w:ascii="Times New Roman" w:hAnsi="Times New Roman" w:eastAsia="方正仿宋简体" w:cs="方正仿宋简体"/>
          <w:sz w:val="32"/>
          <w:szCs w:val="32"/>
          <w:highlight w:val="none"/>
        </w:rPr>
        <w:t>收入支出决算总体情况说明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_Toc27170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_Toc19692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lang w:eastAsia="zh-CN"/>
        </w:rPr>
        <w:t>二、</w:t>
      </w:r>
      <w:r>
        <w:rPr>
          <w:rFonts w:hint="eastAsia" w:ascii="Times New Roman" w:hAnsi="Times New Roman" w:eastAsia="方正仿宋简体" w:cs="方正仿宋简体"/>
          <w:sz w:val="32"/>
          <w:szCs w:val="32"/>
          <w:highlight w:val="none"/>
        </w:rPr>
        <w:t>收入决算情况说明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_Toc19692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_Toc7677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lang w:eastAsia="zh-CN"/>
        </w:rPr>
        <w:t>三、</w:t>
      </w:r>
      <w:r>
        <w:rPr>
          <w:rFonts w:hint="eastAsia" w:ascii="Times New Roman" w:hAnsi="Times New Roman" w:eastAsia="方正仿宋简体" w:cs="方正仿宋简体"/>
          <w:sz w:val="32"/>
          <w:szCs w:val="32"/>
          <w:highlight w:val="none"/>
        </w:rPr>
        <w:t>支出决算情况说明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_Toc7677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6</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_Toc20739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四、财政拨款收入支出决算总体情况说明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_Toc20739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7</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_Toc10552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五、一般公共预算财政拨款支出决算情况说明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_Toc10552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7</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_Toc13356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六、一般公共预算财政拨款基本支出决算情况说明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_Toc13356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11</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_Toc29306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七、财政拨款“三公”经费支出决算情况说明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_Toc29306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11</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_Toc17155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八、政府性基金预算支出决算情况说明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_Toc17155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13</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_Toc12827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lang w:eastAsia="zh-CN"/>
        </w:rPr>
        <w:t>九、</w:t>
      </w:r>
      <w:r>
        <w:rPr>
          <w:rFonts w:hint="eastAsia" w:ascii="Times New Roman" w:hAnsi="Times New Roman" w:eastAsia="方正仿宋简体" w:cs="方正仿宋简体"/>
          <w:sz w:val="32"/>
          <w:szCs w:val="32"/>
          <w:highlight w:val="none"/>
        </w:rPr>
        <w:t>国有资本经营预算支出决算情况说明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_Toc12827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13</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_Toc1273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lang w:eastAsia="zh-CN"/>
        </w:rPr>
        <w:t>十、</w:t>
      </w:r>
      <w:r>
        <w:rPr>
          <w:rFonts w:hint="eastAsia" w:ascii="Times New Roman" w:hAnsi="Times New Roman" w:eastAsia="方正仿宋简体" w:cs="方正仿宋简体"/>
          <w:sz w:val="32"/>
          <w:szCs w:val="32"/>
          <w:highlight w:val="none"/>
        </w:rPr>
        <w:t>其他重要事项的情况说明</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_Toc1273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13</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8"/>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_Toc14538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lang w:eastAsia="zh-CN"/>
        </w:rPr>
        <w:t>第三部分</w:t>
      </w:r>
      <w:r>
        <w:rPr>
          <w:rFonts w:hint="eastAsia" w:ascii="Times New Roman" w:hAnsi="Times New Roman" w:eastAsia="方正仿宋简体" w:cs="方正仿宋简体"/>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名词解释</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_Toc14538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8"/>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_Toc3222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第四部分 附件</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_Toc3222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18</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8"/>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_Toc23986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第五部分 附表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_Toc23986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24</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_Toc27954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一、收</w:t>
      </w:r>
      <w:r>
        <w:rPr>
          <w:rFonts w:hint="eastAsia" w:ascii="Times New Roman" w:hAnsi="Times New Roman" w:eastAsia="方正仿宋简体" w:cs="方正仿宋简体"/>
          <w:bCs w:val="0"/>
          <w:sz w:val="32"/>
          <w:szCs w:val="32"/>
          <w:highlight w:val="none"/>
        </w:rPr>
        <w:t>入支出决算总表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_Toc27954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_Toc23012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sz w:val="32"/>
          <w:szCs w:val="32"/>
          <w:highlight w:val="none"/>
        </w:rPr>
        <w:t>二、收</w:t>
      </w:r>
      <w:r>
        <w:rPr>
          <w:rFonts w:hint="eastAsia" w:ascii="Times New Roman" w:hAnsi="Times New Roman" w:eastAsia="方正仿宋简体" w:cs="方正仿宋简体"/>
          <w:bCs w:val="0"/>
          <w:sz w:val="32"/>
          <w:szCs w:val="32"/>
          <w:highlight w:val="none"/>
        </w:rPr>
        <w:t>入决算表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_Toc23012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_Toc5934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三、</w:t>
      </w:r>
      <w:r>
        <w:rPr>
          <w:rFonts w:hint="eastAsia" w:ascii="Times New Roman" w:hAnsi="Times New Roman" w:eastAsia="方正仿宋简体" w:cs="方正仿宋简体"/>
          <w:sz w:val="32"/>
          <w:szCs w:val="32"/>
          <w:highlight w:val="none"/>
        </w:rPr>
        <w:t>支</w:t>
      </w:r>
      <w:r>
        <w:rPr>
          <w:rFonts w:hint="eastAsia" w:ascii="Times New Roman" w:hAnsi="Times New Roman" w:eastAsia="方正仿宋简体" w:cs="方正仿宋简体"/>
          <w:bCs w:val="0"/>
          <w:sz w:val="32"/>
          <w:szCs w:val="32"/>
          <w:highlight w:val="none"/>
        </w:rPr>
        <w:t>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_Toc5934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_Toc5731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四、</w:t>
      </w:r>
      <w:r>
        <w:rPr>
          <w:rFonts w:hint="eastAsia" w:ascii="Times New Roman" w:hAnsi="Times New Roman" w:eastAsia="方正仿宋简体" w:cs="方正仿宋简体"/>
          <w:sz w:val="32"/>
          <w:szCs w:val="32"/>
          <w:highlight w:val="none"/>
        </w:rPr>
        <w:t>财</w:t>
      </w:r>
      <w:r>
        <w:rPr>
          <w:rFonts w:hint="eastAsia" w:ascii="Times New Roman" w:hAnsi="Times New Roman" w:eastAsia="方正仿宋简体" w:cs="方正仿宋简体"/>
          <w:bCs w:val="0"/>
          <w:sz w:val="32"/>
          <w:szCs w:val="32"/>
          <w:highlight w:val="none"/>
        </w:rPr>
        <w:t>政拨款收入支出决算总表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_Toc5731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_Toc28664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五、</w:t>
      </w:r>
      <w:r>
        <w:rPr>
          <w:rFonts w:hint="eastAsia" w:ascii="Times New Roman" w:hAnsi="Times New Roman" w:eastAsia="方正仿宋简体" w:cs="方正仿宋简体"/>
          <w:sz w:val="32"/>
          <w:szCs w:val="32"/>
          <w:highlight w:val="none"/>
        </w:rPr>
        <w:t>财</w:t>
      </w:r>
      <w:r>
        <w:rPr>
          <w:rFonts w:hint="eastAsia" w:ascii="Times New Roman" w:hAnsi="Times New Roman" w:eastAsia="方正仿宋简体" w:cs="方正仿宋简体"/>
          <w:bCs w:val="0"/>
          <w:sz w:val="32"/>
          <w:szCs w:val="32"/>
          <w:highlight w:val="none"/>
        </w:rPr>
        <w:t>政拨款支出决算明细表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_Toc28664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_Toc10319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六、</w:t>
      </w:r>
      <w:r>
        <w:rPr>
          <w:rFonts w:hint="eastAsia" w:ascii="Times New Roman" w:hAnsi="Times New Roman" w:eastAsia="方正仿宋简体" w:cs="方正仿宋简体"/>
          <w:sz w:val="32"/>
          <w:szCs w:val="32"/>
          <w:highlight w:val="none"/>
        </w:rPr>
        <w:t>一</w:t>
      </w:r>
      <w:r>
        <w:rPr>
          <w:rFonts w:hint="eastAsia" w:ascii="Times New Roman" w:hAnsi="Times New Roman" w:eastAsia="方正仿宋简体" w:cs="方正仿宋简体"/>
          <w:bCs w:val="0"/>
          <w:sz w:val="32"/>
          <w:szCs w:val="32"/>
          <w:highlight w:val="none"/>
        </w:rPr>
        <w:t>般公共预算财政拨款支出决算表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_Toc10319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_Toc4085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七、</w:t>
      </w:r>
      <w:r>
        <w:rPr>
          <w:rFonts w:hint="eastAsia" w:ascii="Times New Roman" w:hAnsi="Times New Roman" w:eastAsia="方正仿宋简体" w:cs="方正仿宋简体"/>
          <w:sz w:val="32"/>
          <w:szCs w:val="32"/>
          <w:highlight w:val="none"/>
        </w:rPr>
        <w:t>一</w:t>
      </w:r>
      <w:r>
        <w:rPr>
          <w:rFonts w:hint="eastAsia" w:ascii="Times New Roman" w:hAnsi="Times New Roman" w:eastAsia="方正仿宋简体" w:cs="方正仿宋简体"/>
          <w:bCs w:val="0"/>
          <w:sz w:val="32"/>
          <w:szCs w:val="32"/>
          <w:highlight w:val="none"/>
        </w:rPr>
        <w:t>般公共预算财政拨款支出决算明细表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_Toc4085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_Toc18227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八、</w:t>
      </w:r>
      <w:r>
        <w:rPr>
          <w:rFonts w:hint="eastAsia" w:ascii="Times New Roman" w:hAnsi="Times New Roman" w:eastAsia="方正仿宋简体" w:cs="方正仿宋简体"/>
          <w:sz w:val="32"/>
          <w:szCs w:val="32"/>
          <w:highlight w:val="none"/>
        </w:rPr>
        <w:t>一</w:t>
      </w:r>
      <w:r>
        <w:rPr>
          <w:rFonts w:hint="eastAsia" w:ascii="Times New Roman" w:hAnsi="Times New Roman" w:eastAsia="方正仿宋简体" w:cs="方正仿宋简体"/>
          <w:bCs w:val="0"/>
          <w:sz w:val="32"/>
          <w:szCs w:val="32"/>
          <w:highlight w:val="none"/>
        </w:rPr>
        <w:t>般公共预算财政拨款基本支出决算表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_Toc18227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_Toc13909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九、</w:t>
      </w:r>
      <w:r>
        <w:rPr>
          <w:rFonts w:hint="eastAsia" w:ascii="Times New Roman" w:hAnsi="Times New Roman" w:eastAsia="方正仿宋简体" w:cs="方正仿宋简体"/>
          <w:sz w:val="32"/>
          <w:szCs w:val="32"/>
          <w:highlight w:val="none"/>
        </w:rPr>
        <w:t>一</w:t>
      </w:r>
      <w:r>
        <w:rPr>
          <w:rFonts w:hint="eastAsia" w:ascii="Times New Roman" w:hAnsi="Times New Roman" w:eastAsia="方正仿宋简体" w:cs="方正仿宋简体"/>
          <w:bCs w:val="0"/>
          <w:sz w:val="32"/>
          <w:szCs w:val="32"/>
          <w:highlight w:val="none"/>
        </w:rPr>
        <w:t>般公共预算财政拨款项目支出决算表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_Toc13909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_Toc19466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十、</w:t>
      </w:r>
      <w:r>
        <w:rPr>
          <w:rFonts w:hint="eastAsia" w:ascii="Times New Roman" w:hAnsi="Times New Roman" w:eastAsia="方正仿宋简体" w:cs="方正仿宋简体"/>
          <w:sz w:val="32"/>
          <w:szCs w:val="32"/>
          <w:highlight w:val="none"/>
        </w:rPr>
        <w:t>政</w:t>
      </w:r>
      <w:r>
        <w:rPr>
          <w:rFonts w:hint="eastAsia" w:ascii="Times New Roman" w:hAnsi="Times New Roman" w:eastAsia="方正仿宋简体" w:cs="方正仿宋简体"/>
          <w:bCs w:val="0"/>
          <w:sz w:val="32"/>
          <w:szCs w:val="32"/>
          <w:highlight w:val="none"/>
        </w:rPr>
        <w:t>府性基金预算财政拨款收入支出决算表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_Toc19466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_Toc15501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十一、</w:t>
      </w:r>
      <w:r>
        <w:rPr>
          <w:rFonts w:hint="eastAsia" w:ascii="Times New Roman" w:hAnsi="Times New Roman" w:eastAsia="方正仿宋简体" w:cs="方正仿宋简体"/>
          <w:sz w:val="32"/>
          <w:szCs w:val="32"/>
          <w:highlight w:val="none"/>
        </w:rPr>
        <w:t>国</w:t>
      </w:r>
      <w:r>
        <w:rPr>
          <w:rFonts w:hint="eastAsia" w:ascii="Times New Roman" w:hAnsi="Times New Roman" w:eastAsia="方正仿宋简体" w:cs="方正仿宋简体"/>
          <w:bCs w:val="0"/>
          <w:sz w:val="32"/>
          <w:szCs w:val="32"/>
          <w:highlight w:val="none"/>
        </w:rPr>
        <w:t>有资本经营预算</w:t>
      </w:r>
      <w:r>
        <w:rPr>
          <w:rFonts w:hint="eastAsia" w:ascii="Times New Roman" w:hAnsi="Times New Roman" w:eastAsia="方正仿宋简体" w:cs="方正仿宋简体"/>
          <w:bCs w:val="0"/>
          <w:sz w:val="32"/>
          <w:szCs w:val="32"/>
          <w:highlight w:val="none"/>
          <w:lang w:eastAsia="zh-CN"/>
        </w:rPr>
        <w:t>财政拨款收入</w:t>
      </w:r>
      <w:r>
        <w:rPr>
          <w:rFonts w:hint="eastAsia" w:ascii="Times New Roman" w:hAnsi="Times New Roman" w:eastAsia="方正仿宋简体" w:cs="方正仿宋简体"/>
          <w:bCs w:val="0"/>
          <w:sz w:val="32"/>
          <w:szCs w:val="32"/>
          <w:highlight w:val="none"/>
        </w:rPr>
        <w:t>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_Toc15501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_Toc1358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十二、</w:t>
      </w:r>
      <w:r>
        <w:rPr>
          <w:rFonts w:hint="eastAsia" w:ascii="Times New Roman" w:hAnsi="Times New Roman" w:eastAsia="方正仿宋简体" w:cs="方正仿宋简体"/>
          <w:bCs w:val="0"/>
          <w:sz w:val="32"/>
          <w:szCs w:val="32"/>
          <w:highlight w:val="none"/>
          <w:lang w:eastAsia="zh-CN"/>
        </w:rPr>
        <w:t>国有资本经营预算财政拨款支出决算表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_Toc1358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pStyle w:val="10"/>
        <w:tabs>
          <w:tab w:val="right" w:leader="hyphen" w:pos="8845"/>
          <w:tab w:val="clear" w:pos="8296"/>
        </w:tabs>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color w:val="auto"/>
          <w:sz w:val="32"/>
          <w:szCs w:val="32"/>
          <w:highlight w:val="none"/>
        </w:rPr>
        <w:fldChar w:fldCharType="begin"/>
      </w:r>
      <w:r>
        <w:rPr>
          <w:rFonts w:hint="eastAsia" w:ascii="Times New Roman" w:hAnsi="Times New Roman" w:eastAsia="方正仿宋简体" w:cs="方正仿宋简体"/>
          <w:sz w:val="32"/>
          <w:szCs w:val="32"/>
          <w:highlight w:val="none"/>
        </w:rPr>
        <w:instrText xml:space="preserve"> HYPERLINK \l _Toc3741 </w:instrText>
      </w:r>
      <w:r>
        <w:rPr>
          <w:rFonts w:hint="eastAsia" w:ascii="Times New Roman" w:hAnsi="Times New Roman" w:eastAsia="方正仿宋简体" w:cs="方正仿宋简体"/>
          <w:sz w:val="32"/>
          <w:szCs w:val="32"/>
          <w:highlight w:val="none"/>
        </w:rPr>
        <w:fldChar w:fldCharType="separate"/>
      </w:r>
      <w:r>
        <w:rPr>
          <w:rFonts w:hint="eastAsia" w:ascii="Times New Roman" w:hAnsi="Times New Roman" w:eastAsia="方正仿宋简体" w:cs="方正仿宋简体"/>
          <w:bCs w:val="0"/>
          <w:sz w:val="32"/>
          <w:szCs w:val="32"/>
          <w:highlight w:val="none"/>
        </w:rPr>
        <w:t>十三、</w:t>
      </w:r>
      <w:r>
        <w:rPr>
          <w:rFonts w:hint="eastAsia" w:ascii="Times New Roman" w:hAnsi="Times New Roman" w:eastAsia="方正仿宋简体" w:cs="方正仿宋简体"/>
          <w:bCs w:val="0"/>
          <w:sz w:val="32"/>
          <w:szCs w:val="32"/>
          <w:highlight w:val="none"/>
          <w:lang w:eastAsia="zh-CN"/>
        </w:rPr>
        <w:t>财政拨款“三公”经费支出决算表</w:t>
      </w:r>
      <w:r>
        <w:rPr>
          <w:rFonts w:hint="eastAsia" w:ascii="Times New Roman" w:hAnsi="Times New Roman" w:eastAsia="方正仿宋简体" w:cs="方正仿宋简体"/>
          <w:sz w:val="32"/>
          <w:szCs w:val="32"/>
        </w:rPr>
        <w:tab/>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PAGEREF _Toc3741 \h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color w:val="auto"/>
          <w:sz w:val="32"/>
          <w:szCs w:val="32"/>
          <w:highlight w:val="none"/>
        </w:rPr>
        <w:fldChar w:fldCharType="end"/>
      </w:r>
    </w:p>
    <w:p>
      <w:pPr>
        <w:widowControl/>
        <w:adjustRightInd w:val="0"/>
        <w:snapToGrid w:val="0"/>
        <w:spacing w:line="440" w:lineRule="exact"/>
        <w:ind w:firstLine="1760" w:firstLineChars="550"/>
        <w:jc w:val="left"/>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color w:val="auto"/>
          <w:sz w:val="32"/>
          <w:szCs w:val="32"/>
          <w:highlight w:val="none"/>
        </w:rPr>
        <w:fldChar w:fldCharType="end"/>
      </w:r>
    </w:p>
    <w:p>
      <w:pPr>
        <w:pStyle w:val="2"/>
      </w:pPr>
    </w:p>
    <w:p>
      <w:pPr>
        <w:widowControl/>
        <w:spacing w:line="240" w:lineRule="auto"/>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keepNext w:val="0"/>
        <w:keepLines w:val="0"/>
        <w:pageBreakBefore w:val="0"/>
        <w:widowControl w:val="0"/>
        <w:kinsoku/>
        <w:wordWrap/>
        <w:overflowPunct/>
        <w:topLinePunct w:val="0"/>
        <w:autoSpaceDE/>
        <w:autoSpaceDN/>
        <w:bidi w:val="0"/>
        <w:adjustRightInd/>
        <w:snapToGrid w:val="0"/>
        <w:spacing w:before="0" w:after="0" w:line="600" w:lineRule="exact"/>
        <w:jc w:val="center"/>
        <w:textAlignment w:val="auto"/>
        <w:rPr>
          <w:rStyle w:val="14"/>
          <w:rFonts w:ascii="黑体" w:hAnsi="黑体" w:eastAsia="黑体"/>
          <w:b/>
          <w:bCs w:val="0"/>
          <w:color w:val="auto"/>
          <w:highlight w:val="none"/>
        </w:rPr>
      </w:pPr>
      <w:bookmarkStart w:id="0" w:name="_Toc6275"/>
      <w:bookmarkStart w:id="1" w:name="_Toc22622"/>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4"/>
          <w:rFonts w:hint="eastAsia" w:ascii="黑体" w:hAnsi="黑体" w:eastAsia="黑体"/>
          <w:b w:val="0"/>
          <w:bCs w:val="0"/>
          <w:color w:val="auto"/>
          <w:highlight w:val="none"/>
        </w:rPr>
        <w:t>概况</w:t>
      </w:r>
      <w:bookmarkEnd w:id="0"/>
      <w:bookmarkEnd w:id="1"/>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黑体" w:eastAsia="黑体"/>
          <w:color w:val="auto"/>
          <w:sz w:val="32"/>
          <w:szCs w:val="32"/>
          <w:highlight w:val="none"/>
        </w:rPr>
      </w:pPr>
    </w:p>
    <w:p>
      <w:pPr>
        <w:pStyle w:val="4"/>
        <w:keepNext w:val="0"/>
        <w:keepLines w:val="0"/>
        <w:pageBreakBefore w:val="0"/>
        <w:widowControl w:val="0"/>
        <w:numPr>
          <w:ilvl w:val="0"/>
          <w:numId w:val="1"/>
        </w:numPr>
        <w:kinsoku/>
        <w:wordWrap/>
        <w:overflowPunct/>
        <w:topLinePunct w:val="0"/>
        <w:autoSpaceDE/>
        <w:autoSpaceDN/>
        <w:bidi w:val="0"/>
        <w:adjustRightInd/>
        <w:snapToGrid w:val="0"/>
        <w:spacing w:before="0" w:after="0" w:line="600" w:lineRule="exact"/>
        <w:ind w:firstLine="640" w:firstLineChars="200"/>
        <w:textAlignment w:val="auto"/>
        <w:rPr>
          <w:rStyle w:val="15"/>
          <w:rFonts w:hint="eastAsia" w:ascii="黑体" w:hAnsi="黑体" w:eastAsia="黑体"/>
          <w:b w:val="0"/>
          <w:bCs w:val="0"/>
          <w:color w:val="auto"/>
          <w:highlight w:val="none"/>
          <w:lang w:eastAsia="zh-CN"/>
        </w:rPr>
      </w:pPr>
      <w:bookmarkStart w:id="2" w:name="_Toc5708"/>
      <w:bookmarkStart w:id="3" w:name="_Toc13963"/>
      <w:r>
        <w:rPr>
          <w:rStyle w:val="15"/>
          <w:rFonts w:hint="eastAsia" w:ascii="黑体" w:hAnsi="黑体" w:eastAsia="黑体"/>
          <w:b w:val="0"/>
          <w:bCs w:val="0"/>
          <w:color w:val="auto"/>
          <w:highlight w:val="none"/>
          <w:lang w:eastAsia="zh-CN"/>
        </w:rPr>
        <w:t>主要职责</w:t>
      </w:r>
      <w:bookmarkEnd w:id="2"/>
      <w:bookmarkEnd w:id="3"/>
    </w:p>
    <w:p>
      <w:pPr>
        <w:pStyle w:val="2"/>
        <w:keepNext w:val="0"/>
        <w:keepLines w:val="0"/>
        <w:pageBreakBefore w:val="0"/>
        <w:widowControl w:val="0"/>
        <w:kinsoku/>
        <w:wordWrap/>
        <w:overflowPunct/>
        <w:topLinePunct w:val="0"/>
        <w:autoSpaceDE/>
        <w:autoSpaceDN/>
        <w:bidi w:val="0"/>
        <w:adjustRightInd/>
        <w:snapToGrid w:val="0"/>
        <w:spacing w:beforeLines="0"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四川省成都军供站（四川省军供保障中心）贯彻落实党中央关于双拥工作的方针政策和省委决策部署。主要为四川省退役军人事务厅提供支持保障职能，主要职责是：</w:t>
      </w:r>
    </w:p>
    <w:p>
      <w:pPr>
        <w:pStyle w:val="2"/>
        <w:keepNext w:val="0"/>
        <w:keepLines w:val="0"/>
        <w:pageBreakBefore w:val="0"/>
        <w:widowControl w:val="0"/>
        <w:kinsoku/>
        <w:wordWrap/>
        <w:overflowPunct/>
        <w:topLinePunct w:val="0"/>
        <w:autoSpaceDE/>
        <w:autoSpaceDN/>
        <w:bidi w:val="0"/>
        <w:adjustRightInd/>
        <w:snapToGrid w:val="0"/>
        <w:spacing w:beforeLines="0"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（一）贯彻执行《军用饮食供应站供水站管理办法》《军供站正规化建设规定》，承担研究制订我省有关军供保障政策制度的行政辅助工作并组织实施。</w:t>
      </w:r>
    </w:p>
    <w:p>
      <w:pPr>
        <w:pStyle w:val="2"/>
        <w:keepNext w:val="0"/>
        <w:keepLines w:val="0"/>
        <w:pageBreakBefore w:val="0"/>
        <w:widowControl w:val="0"/>
        <w:kinsoku/>
        <w:wordWrap/>
        <w:overflowPunct/>
        <w:topLinePunct w:val="0"/>
        <w:autoSpaceDE/>
        <w:autoSpaceDN/>
        <w:bidi w:val="0"/>
        <w:adjustRightInd/>
        <w:snapToGrid w:val="0"/>
        <w:spacing w:beforeLines="0" w:line="600" w:lineRule="exact"/>
        <w:ind w:firstLine="42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（二）承担拟订全省军供保障事业发展规划的行政辅助工作，承担推进重大项目建设的事务性工作，指导下级军供站业务。</w:t>
      </w:r>
    </w:p>
    <w:p>
      <w:pPr>
        <w:pStyle w:val="2"/>
        <w:keepNext w:val="0"/>
        <w:keepLines w:val="0"/>
        <w:pageBreakBefore w:val="0"/>
        <w:widowControl w:val="0"/>
        <w:kinsoku/>
        <w:wordWrap/>
        <w:overflowPunct/>
        <w:topLinePunct w:val="0"/>
        <w:autoSpaceDE/>
        <w:autoSpaceDN/>
        <w:bidi w:val="0"/>
        <w:adjustRightInd/>
        <w:snapToGrid w:val="0"/>
        <w:spacing w:beforeLines="0" w:line="600" w:lineRule="exact"/>
        <w:ind w:firstLine="42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（三）承担平时和战时过往部队、入伍新兵、返乡老兵、支前民兵（民工）在运输途中的中转食宿保障，为过往部队遂行多样化军事任务提供物资采（代</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购、燃料补给、车辆维护以及应急物资储备、加工、物流等军供保障。</w:t>
      </w:r>
    </w:p>
    <w:p>
      <w:pPr>
        <w:pStyle w:val="2"/>
        <w:keepNext w:val="0"/>
        <w:keepLines w:val="0"/>
        <w:pageBreakBefore w:val="0"/>
        <w:widowControl w:val="0"/>
        <w:kinsoku/>
        <w:wordWrap/>
        <w:overflowPunct/>
        <w:topLinePunct w:val="0"/>
        <w:autoSpaceDE/>
        <w:autoSpaceDN/>
        <w:bidi w:val="0"/>
        <w:adjustRightInd/>
        <w:snapToGrid w:val="0"/>
        <w:spacing w:beforeLines="0" w:line="600" w:lineRule="exact"/>
        <w:ind w:firstLine="42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（四）统筹现有设施、装（设）备资源，依法开展平战结合和综合利用工作，为社会提供服务。</w:t>
      </w:r>
    </w:p>
    <w:p>
      <w:pPr>
        <w:pStyle w:val="2"/>
        <w:keepNext w:val="0"/>
        <w:keepLines w:val="0"/>
        <w:pageBreakBefore w:val="0"/>
        <w:widowControl w:val="0"/>
        <w:kinsoku/>
        <w:wordWrap/>
        <w:overflowPunct/>
        <w:topLinePunct w:val="0"/>
        <w:autoSpaceDE/>
        <w:autoSpaceDN/>
        <w:bidi w:val="0"/>
        <w:adjustRightInd/>
        <w:snapToGrid w:val="0"/>
        <w:spacing w:beforeLines="0" w:line="600" w:lineRule="exact"/>
        <w:ind w:firstLine="42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（五）完成四川省退役军人事务厅等有关部门（单位）交办的其他工作。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lang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val="0"/>
        <w:spacing w:before="0" w:after="0" w:line="600" w:lineRule="exact"/>
        <w:ind w:firstLine="640" w:firstLineChars="200"/>
        <w:textAlignment w:val="auto"/>
        <w:rPr>
          <w:rStyle w:val="15"/>
          <w:rFonts w:hint="eastAsia" w:ascii="黑体" w:hAnsi="黑体" w:eastAsia="黑体" w:cs="Times New Roman"/>
          <w:b w:val="0"/>
          <w:bCs w:val="0"/>
          <w:color w:val="auto"/>
          <w:highlight w:val="none"/>
          <w:lang w:val="en-US" w:eastAsia="zh-CN"/>
        </w:rPr>
      </w:pPr>
      <w:bookmarkStart w:id="4" w:name="_Toc25223"/>
      <w:bookmarkStart w:id="5" w:name="_Toc19508"/>
      <w:r>
        <w:rPr>
          <w:rStyle w:val="15"/>
          <w:rFonts w:hint="eastAsia" w:ascii="黑体" w:hAnsi="黑体" w:eastAsia="黑体" w:cs="Times New Roman"/>
          <w:b w:val="0"/>
          <w:bCs w:val="0"/>
          <w:color w:val="auto"/>
          <w:highlight w:val="none"/>
          <w:lang w:val="en-US" w:eastAsia="zh-CN"/>
        </w:rPr>
        <w:t>机构设置</w:t>
      </w:r>
      <w:bookmarkEnd w:id="4"/>
      <w:bookmarkEnd w:id="5"/>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四川省成都军供站（四川省军供保障中心）依据三定方案内设10个内设机构，包括：办公室、党群工作部、组织人事部、财务部、保障调度部、服务供应部、基建装备部、融合发展部、仓储物流部、安全保卫部。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14"/>
          <w:rFonts w:ascii="黑体" w:hAnsi="黑体" w:eastAsia="黑体"/>
          <w:b w:val="0"/>
          <w:bCs/>
          <w:color w:val="auto"/>
          <w:highlight w:val="none"/>
        </w:rPr>
      </w:pPr>
      <w:bookmarkStart w:id="6" w:name="_Toc32711"/>
      <w:bookmarkStart w:id="7" w:name="_Toc9686"/>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4"/>
          <w:rFonts w:hint="eastAsia" w:ascii="黑体" w:hAnsi="黑体" w:eastAsia="黑体"/>
          <w:b w:val="0"/>
          <w:bCs/>
          <w:color w:val="auto"/>
          <w:highlight w:val="none"/>
          <w:lang w:eastAsia="zh-CN"/>
        </w:rPr>
        <w:t>单位</w:t>
      </w:r>
      <w:r>
        <w:rPr>
          <w:rStyle w:val="14"/>
          <w:rFonts w:hint="eastAsia" w:ascii="黑体" w:hAnsi="黑体" w:eastAsia="黑体"/>
          <w:b w:val="0"/>
          <w:bCs/>
          <w:color w:val="auto"/>
          <w:highlight w:val="none"/>
        </w:rPr>
        <w:t>决算情况说明</w:t>
      </w:r>
      <w:bookmarkEnd w:id="6"/>
      <w:bookmarkEnd w:id="7"/>
    </w:p>
    <w:p>
      <w:pPr>
        <w:rPr>
          <w:color w:val="auto"/>
          <w:highlight w:val="none"/>
        </w:rPr>
      </w:pPr>
    </w:p>
    <w:p>
      <w:pPr>
        <w:pStyle w:val="16"/>
        <w:numPr>
          <w:ilvl w:val="0"/>
          <w:numId w:val="0"/>
        </w:numPr>
        <w:spacing w:line="600" w:lineRule="exact"/>
        <w:ind w:left="640" w:leftChars="0"/>
        <w:outlineLvl w:val="1"/>
        <w:rPr>
          <w:rStyle w:val="15"/>
          <w:rFonts w:ascii="黑体" w:hAnsi="黑体" w:eastAsia="黑体"/>
          <w:b w:val="0"/>
          <w:color w:val="auto"/>
          <w:highlight w:val="none"/>
        </w:rPr>
      </w:pPr>
      <w:bookmarkStart w:id="8" w:name="_Toc1930"/>
      <w:bookmarkStart w:id="9" w:name="_Toc27170"/>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入支出决算总体情况说明</w:t>
      </w:r>
      <w:bookmarkEnd w:id="8"/>
      <w:bookmarkEnd w:id="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1910.38</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100.28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增长</w:t>
      </w:r>
      <w:r>
        <w:rPr>
          <w:rFonts w:hint="default" w:ascii="Times New Roman" w:hAnsi="Times New Roman" w:eastAsia="方正仿宋简体" w:cs="Times New Roman"/>
          <w:sz w:val="32"/>
          <w:szCs w:val="32"/>
        </w:rPr>
        <w:t>变动原因一是人员增加，基本支出增加</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是事业收入增加，</w:t>
      </w:r>
      <w:r>
        <w:rPr>
          <w:rFonts w:hint="eastAsia" w:ascii="Times New Roman" w:hAnsi="Times New Roman" w:eastAsia="方正仿宋简体" w:cs="Times New Roman"/>
          <w:sz w:val="32"/>
          <w:szCs w:val="32"/>
          <w:lang w:val="en-US" w:eastAsia="zh-CN"/>
        </w:rPr>
        <w:t>对应安排基本支出增加</w:t>
      </w:r>
      <w:r>
        <w:rPr>
          <w:rFonts w:hint="default" w:ascii="Times New Roman" w:hAnsi="Times New Roman" w:eastAsia="方正仿宋简体" w:cs="Times New Roman"/>
          <w:sz w:val="32"/>
          <w:szCs w:val="32"/>
        </w:rPr>
        <w:t>。</w:t>
      </w:r>
    </w:p>
    <w:p>
      <w:pPr>
        <w:pStyle w:val="2"/>
        <w:jc w:val="center"/>
        <w:rPr>
          <w:rFonts w:hint="eastAsia" w:ascii="仿宋" w:hAnsi="仿宋" w:eastAsia="仿宋"/>
          <w:color w:val="auto"/>
          <w:sz w:val="32"/>
          <w:szCs w:val="32"/>
          <w:highlight w:val="none"/>
          <w:lang w:eastAsia="zh-CN"/>
        </w:rPr>
      </w:pPr>
      <w:r>
        <w:drawing>
          <wp:inline distT="0" distB="0" distL="114300" distR="114300">
            <wp:extent cx="4572000" cy="274320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16"/>
        <w:numPr>
          <w:ilvl w:val="0"/>
          <w:numId w:val="0"/>
        </w:numPr>
        <w:spacing w:line="600" w:lineRule="exact"/>
        <w:ind w:left="640" w:leftChars="0"/>
        <w:outlineLvl w:val="1"/>
        <w:rPr>
          <w:rStyle w:val="15"/>
          <w:rFonts w:ascii="黑体" w:hAnsi="黑体" w:eastAsia="黑体"/>
          <w:b w:val="0"/>
          <w:color w:val="auto"/>
          <w:highlight w:val="none"/>
        </w:rPr>
      </w:pPr>
      <w:bookmarkStart w:id="10" w:name="_Toc19692"/>
      <w:bookmarkStart w:id="11" w:name="_Toc6996"/>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入决算情况说明</w:t>
      </w:r>
      <w:bookmarkEnd w:id="10"/>
      <w:bookmarkEnd w:id="11"/>
    </w:p>
    <w:p>
      <w:pPr>
        <w:spacing w:line="600" w:lineRule="exact"/>
        <w:ind w:firstLine="640" w:firstLineChars="200"/>
        <w:outlineLvl w:val="1"/>
        <w:rPr>
          <w:rFonts w:hint="eastAsia" w:ascii="黑体" w:hAnsi="黑体" w:eastAsia="黑体"/>
          <w:color w:val="auto"/>
          <w:sz w:val="32"/>
          <w:szCs w:val="32"/>
          <w:highlight w:val="none"/>
          <w:lang w:eastAsia="zh-CN"/>
        </w:rPr>
      </w:pPr>
      <w:bookmarkStart w:id="12" w:name="_Toc18029"/>
      <w:bookmarkStart w:id="13" w:name="_Toc26425"/>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s="仿宋"/>
          <w:sz w:val="32"/>
          <w:szCs w:val="32"/>
          <w:lang w:val="en-US" w:eastAsia="zh-CN"/>
        </w:rPr>
        <w:t>1910.38</w:t>
      </w:r>
      <w:r>
        <w:rPr>
          <w:rFonts w:hint="eastAsia" w:ascii="仿宋" w:hAnsi="仿宋" w:eastAsia="仿宋"/>
          <w:color w:val="auto"/>
          <w:sz w:val="32"/>
          <w:szCs w:val="32"/>
          <w:highlight w:val="none"/>
        </w:rPr>
        <w:t>万元，其中：</w:t>
      </w:r>
      <w:r>
        <w:rPr>
          <w:rFonts w:hint="eastAsia" w:ascii="仿宋" w:hAnsi="仿宋" w:eastAsia="仿宋" w:cs="仿宋"/>
          <w:sz w:val="32"/>
          <w:szCs w:val="32"/>
        </w:rPr>
        <w:t>一般公共预算财政拨款收入1</w:t>
      </w:r>
      <w:r>
        <w:rPr>
          <w:rFonts w:ascii="仿宋" w:hAnsi="仿宋" w:eastAsia="仿宋" w:cs="仿宋"/>
          <w:sz w:val="32"/>
          <w:szCs w:val="32"/>
        </w:rPr>
        <w:t>8</w:t>
      </w:r>
      <w:r>
        <w:rPr>
          <w:rFonts w:hint="eastAsia" w:ascii="仿宋" w:hAnsi="仿宋" w:eastAsia="仿宋" w:cs="仿宋"/>
          <w:sz w:val="32"/>
          <w:szCs w:val="32"/>
          <w:lang w:val="en-US" w:eastAsia="zh-CN"/>
        </w:rPr>
        <w:t>34.60</w:t>
      </w:r>
      <w:r>
        <w:rPr>
          <w:rFonts w:hint="eastAsia" w:ascii="仿宋" w:hAnsi="仿宋" w:eastAsia="仿宋" w:cs="仿宋"/>
          <w:sz w:val="32"/>
          <w:szCs w:val="32"/>
        </w:rPr>
        <w:t>万元，占</w:t>
      </w:r>
      <w:r>
        <w:rPr>
          <w:rFonts w:hint="eastAsia" w:ascii="仿宋" w:hAnsi="仿宋" w:eastAsia="仿宋" w:cs="仿宋"/>
          <w:sz w:val="32"/>
          <w:szCs w:val="32"/>
          <w:lang w:val="en-US" w:eastAsia="zh-CN"/>
        </w:rPr>
        <w:t>96.03</w:t>
      </w:r>
      <w:r>
        <w:rPr>
          <w:rFonts w:hint="eastAsia" w:ascii="仿宋" w:hAnsi="仿宋" w:eastAsia="仿宋" w:cs="仿宋"/>
          <w:sz w:val="32"/>
          <w:szCs w:val="32"/>
        </w:rPr>
        <w:t>%；其他收入</w:t>
      </w:r>
      <w:r>
        <w:rPr>
          <w:rFonts w:hint="eastAsia" w:ascii="仿宋" w:hAnsi="仿宋" w:eastAsia="仿宋" w:cs="仿宋"/>
          <w:sz w:val="32"/>
          <w:szCs w:val="32"/>
          <w:lang w:val="en-US" w:eastAsia="zh-CN"/>
        </w:rPr>
        <w:t>7.64</w:t>
      </w:r>
      <w:r>
        <w:rPr>
          <w:rFonts w:hint="eastAsia" w:ascii="仿宋" w:hAnsi="仿宋" w:eastAsia="仿宋" w:cs="仿宋"/>
          <w:sz w:val="32"/>
          <w:szCs w:val="32"/>
        </w:rPr>
        <w:t>万元，占</w:t>
      </w:r>
      <w:r>
        <w:rPr>
          <w:rFonts w:hint="eastAsia" w:ascii="仿宋" w:hAnsi="仿宋" w:eastAsia="仿宋" w:cs="仿宋"/>
          <w:sz w:val="32"/>
          <w:szCs w:val="32"/>
          <w:lang w:val="en-US" w:eastAsia="zh-CN"/>
        </w:rPr>
        <w:t>0.40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68.14</w:t>
      </w:r>
      <w:r>
        <w:rPr>
          <w:rFonts w:hint="eastAsia" w:ascii="仿宋" w:hAnsi="仿宋" w:eastAsia="仿宋" w:cs="仿宋"/>
          <w:sz w:val="32"/>
          <w:szCs w:val="32"/>
        </w:rPr>
        <w:t>万元，占</w:t>
      </w:r>
      <w:r>
        <w:rPr>
          <w:rFonts w:hint="eastAsia" w:ascii="仿宋" w:hAnsi="仿宋" w:eastAsia="仿宋" w:cs="仿宋"/>
          <w:sz w:val="32"/>
          <w:szCs w:val="32"/>
          <w:lang w:val="en-US" w:eastAsia="zh-CN"/>
        </w:rPr>
        <w:t>3.57</w:t>
      </w:r>
      <w:r>
        <w:rPr>
          <w:rFonts w:hint="eastAsia" w:ascii="仿宋" w:hAnsi="仿宋" w:eastAsia="仿宋" w:cs="仿宋"/>
          <w:sz w:val="32"/>
          <w:szCs w:val="32"/>
        </w:rPr>
        <w:t>%。</w:t>
      </w:r>
      <w:bookmarkEnd w:id="12"/>
      <w:bookmarkEnd w:id="13"/>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r>
        <w:drawing>
          <wp:anchor distT="0" distB="0" distL="114300" distR="114300" simplePos="0" relativeHeight="251661312" behindDoc="1" locked="0" layoutInCell="1" allowOverlap="1">
            <wp:simplePos x="0" y="0"/>
            <wp:positionH relativeFrom="column">
              <wp:posOffset>410845</wp:posOffset>
            </wp:positionH>
            <wp:positionV relativeFrom="paragraph">
              <wp:posOffset>70485</wp:posOffset>
            </wp:positionV>
            <wp:extent cx="4572000" cy="2506980"/>
            <wp:effectExtent l="4445" t="4445" r="14605" b="22225"/>
            <wp:wrapNone/>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p>
    <w:p>
      <w:pPr>
        <w:pStyle w:val="16"/>
        <w:numPr>
          <w:ilvl w:val="0"/>
          <w:numId w:val="0"/>
        </w:numPr>
        <w:spacing w:line="600" w:lineRule="exact"/>
        <w:ind w:left="640" w:leftChars="0"/>
        <w:outlineLvl w:val="9"/>
        <w:rPr>
          <w:rFonts w:hint="eastAsia" w:ascii="黑体" w:hAnsi="黑体" w:eastAsia="黑体"/>
          <w:color w:val="auto"/>
          <w:sz w:val="32"/>
          <w:szCs w:val="32"/>
          <w:highlight w:val="none"/>
          <w:lang w:eastAsia="zh-CN"/>
        </w:rPr>
      </w:pPr>
    </w:p>
    <w:p>
      <w:pPr>
        <w:spacing w:line="600" w:lineRule="exact"/>
        <w:jc w:val="center"/>
        <w:rPr>
          <w:rFonts w:hint="eastAsia" w:ascii="黑体" w:hAnsi="黑体" w:eastAsia="黑体"/>
          <w:color w:val="auto"/>
          <w:sz w:val="32"/>
          <w:szCs w:val="32"/>
          <w:highlight w:val="none"/>
          <w:lang w:eastAsia="zh-CN"/>
        </w:rPr>
      </w:pPr>
      <w:r>
        <w:rPr>
          <w:rFonts w:hint="eastAsia" w:ascii="仿宋" w:hAnsi="仿宋" w:eastAsia="仿宋"/>
          <w:color w:val="auto"/>
          <w:sz w:val="32"/>
          <w:szCs w:val="32"/>
          <w:highlight w:val="none"/>
        </w:rPr>
        <w:t>图2：收入决算结构图</w:t>
      </w:r>
    </w:p>
    <w:p>
      <w:pPr>
        <w:pStyle w:val="16"/>
        <w:numPr>
          <w:ilvl w:val="0"/>
          <w:numId w:val="0"/>
        </w:numPr>
        <w:spacing w:line="600" w:lineRule="exact"/>
        <w:ind w:left="640" w:leftChars="0"/>
        <w:outlineLvl w:val="1"/>
        <w:rPr>
          <w:rStyle w:val="15"/>
          <w:rFonts w:ascii="黑体" w:hAnsi="黑体" w:eastAsia="黑体"/>
          <w:b w:val="0"/>
          <w:color w:val="auto"/>
          <w:highlight w:val="none"/>
        </w:rPr>
      </w:pPr>
      <w:bookmarkStart w:id="14" w:name="_Toc7677"/>
      <w:bookmarkStart w:id="15" w:name="_Toc6124"/>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5"/>
          <w:rFonts w:hint="eastAsia" w:ascii="黑体" w:hAnsi="黑体" w:eastAsia="黑体"/>
          <w:b w:val="0"/>
          <w:color w:val="auto"/>
          <w:highlight w:val="none"/>
        </w:rPr>
        <w:t>出决算情况说明</w:t>
      </w:r>
      <w:bookmarkEnd w:id="14"/>
      <w:bookmarkEnd w:id="15"/>
    </w:p>
    <w:p>
      <w:pPr>
        <w:spacing w:line="600" w:lineRule="exact"/>
        <w:ind w:firstLine="640" w:firstLineChars="200"/>
        <w:outlineLvl w:val="1"/>
        <w:rPr>
          <w:rFonts w:hint="eastAsia" w:ascii="仿宋_GB2312" w:eastAsia="仿宋_GB2312"/>
          <w:color w:val="auto"/>
          <w:sz w:val="32"/>
          <w:szCs w:val="32"/>
          <w:highlight w:val="none"/>
          <w:lang w:eastAsia="zh-CN"/>
        </w:rPr>
      </w:pPr>
      <w:bookmarkStart w:id="16" w:name="_Toc3587"/>
      <w:bookmarkStart w:id="17" w:name="_Toc2592"/>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bookmarkStart w:id="18" w:name="_Hlk126619664"/>
      <w:r>
        <w:rPr>
          <w:rFonts w:ascii="仿宋" w:hAnsi="仿宋" w:eastAsia="仿宋" w:cs="仿宋"/>
          <w:sz w:val="32"/>
          <w:szCs w:val="32"/>
        </w:rPr>
        <w:t>19</w:t>
      </w:r>
      <w:bookmarkEnd w:id="18"/>
      <w:r>
        <w:rPr>
          <w:rFonts w:hint="eastAsia" w:ascii="仿宋" w:hAnsi="仿宋" w:eastAsia="仿宋" w:cs="仿宋"/>
          <w:sz w:val="32"/>
          <w:szCs w:val="32"/>
          <w:lang w:val="en-US" w:eastAsia="zh-CN"/>
        </w:rPr>
        <w:t>10.38</w:t>
      </w:r>
      <w:r>
        <w:rPr>
          <w:rFonts w:hint="eastAsia" w:ascii="仿宋" w:hAnsi="仿宋" w:eastAsia="仿宋"/>
          <w:color w:val="auto"/>
          <w:sz w:val="32"/>
          <w:szCs w:val="32"/>
          <w:highlight w:val="none"/>
        </w:rPr>
        <w:t>万元，其中：基本支出</w:t>
      </w:r>
      <w:r>
        <w:rPr>
          <w:rFonts w:hint="eastAsia" w:ascii="仿宋" w:hAnsi="仿宋" w:eastAsia="仿宋" w:cs="仿宋"/>
          <w:sz w:val="32"/>
          <w:szCs w:val="32"/>
          <w:lang w:val="en-US" w:eastAsia="zh-CN"/>
        </w:rPr>
        <w:t>1440.37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s="仿宋"/>
          <w:sz w:val="32"/>
          <w:szCs w:val="32"/>
          <w:lang w:val="en-US" w:eastAsia="zh-CN"/>
        </w:rPr>
        <w:t>470.01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16"/>
      <w:bookmarkEnd w:id="17"/>
    </w:p>
    <w:p>
      <w:pPr>
        <w:pStyle w:val="9"/>
        <w:rPr>
          <w:rFonts w:hint="eastAsia" w:eastAsia="宋体"/>
          <w:lang w:eastAsia="zh-CN"/>
        </w:rPr>
      </w:pPr>
      <w:r>
        <w:drawing>
          <wp:anchor distT="0" distB="0" distL="114300" distR="114300" simplePos="0" relativeHeight="251662336" behindDoc="0" locked="0" layoutInCell="1" allowOverlap="1">
            <wp:simplePos x="0" y="0"/>
            <wp:positionH relativeFrom="column">
              <wp:posOffset>414020</wp:posOffset>
            </wp:positionH>
            <wp:positionV relativeFrom="paragraph">
              <wp:posOffset>55880</wp:posOffset>
            </wp:positionV>
            <wp:extent cx="4572000" cy="2743200"/>
            <wp:effectExtent l="4445" t="4445" r="14605" b="14605"/>
            <wp:wrapNone/>
            <wp:docPr id="7" name="图表 7"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pStyle w:val="6"/>
        <w:ind w:left="0" w:leftChars="0" w:firstLine="0" w:firstLineChars="0"/>
        <w:rPr>
          <w:rFonts w:hint="eastAsia" w:ascii="仿宋_GB2312" w:eastAsia="仿宋_GB2312"/>
          <w:color w:val="auto"/>
          <w:sz w:val="32"/>
          <w:szCs w:val="32"/>
          <w:highlight w:val="none"/>
          <w:lang w:eastAsia="zh-CN"/>
        </w:rPr>
      </w:pPr>
    </w:p>
    <w:p>
      <w:pPr>
        <w:spacing w:line="600" w:lineRule="exact"/>
        <w:ind w:firstLine="640" w:firstLineChars="200"/>
        <w:outlineLvl w:val="9"/>
        <w:rPr>
          <w:rFonts w:hint="eastAsia" w:ascii="仿宋_GB2312" w:eastAsia="仿宋_GB2312"/>
          <w:color w:val="auto"/>
          <w:sz w:val="32"/>
          <w:szCs w:val="32"/>
          <w:highlight w:val="none"/>
          <w:lang w:eastAsia="zh-CN"/>
        </w:rPr>
      </w:pPr>
    </w:p>
    <w:p>
      <w:pPr>
        <w:spacing w:line="600" w:lineRule="exact"/>
        <w:ind w:firstLine="640" w:firstLineChars="200"/>
        <w:outlineLvl w:val="9"/>
        <w:rPr>
          <w:rFonts w:hint="eastAsia" w:ascii="仿宋_GB2312" w:eastAsia="仿宋_GB2312"/>
          <w:color w:val="auto"/>
          <w:sz w:val="32"/>
          <w:szCs w:val="32"/>
          <w:highlight w:val="none"/>
          <w:lang w:eastAsia="zh-CN"/>
        </w:rPr>
      </w:pPr>
    </w:p>
    <w:p>
      <w:pPr>
        <w:spacing w:line="600" w:lineRule="exact"/>
        <w:ind w:firstLine="640" w:firstLineChars="200"/>
        <w:outlineLvl w:val="9"/>
        <w:rPr>
          <w:rFonts w:hint="eastAsia" w:ascii="仿宋_GB2312" w:eastAsia="仿宋_GB2312"/>
          <w:color w:val="auto"/>
          <w:sz w:val="32"/>
          <w:szCs w:val="32"/>
          <w:highlight w:val="none"/>
          <w:lang w:eastAsia="zh-CN"/>
        </w:rPr>
      </w:pPr>
    </w:p>
    <w:p>
      <w:pPr>
        <w:spacing w:line="600" w:lineRule="exact"/>
        <w:outlineLvl w:val="9"/>
        <w:rPr>
          <w:rFonts w:hint="eastAsia" w:ascii="黑体" w:hAnsi="黑体" w:eastAsia="黑体"/>
          <w:color w:val="auto"/>
          <w:sz w:val="32"/>
          <w:szCs w:val="32"/>
          <w:highlight w:val="none"/>
        </w:rPr>
      </w:pPr>
    </w:p>
    <w:p>
      <w:pPr>
        <w:spacing w:line="600" w:lineRule="exact"/>
        <w:jc w:val="center"/>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15"/>
          <w:rFonts w:ascii="黑体" w:hAnsi="黑体" w:eastAsia="黑体"/>
          <w:b w:val="0"/>
          <w:color w:val="auto"/>
          <w:highlight w:val="none"/>
        </w:rPr>
      </w:pPr>
      <w:bookmarkStart w:id="19" w:name="_Toc20739"/>
      <w:bookmarkStart w:id="20" w:name="_Toc8786"/>
      <w:r>
        <w:rPr>
          <w:rFonts w:hint="eastAsia" w:ascii="黑体" w:hAnsi="黑体" w:eastAsia="黑体"/>
          <w:color w:val="auto"/>
          <w:sz w:val="32"/>
          <w:szCs w:val="32"/>
          <w:highlight w:val="none"/>
        </w:rPr>
        <w:t>四、财</w:t>
      </w:r>
      <w:r>
        <w:rPr>
          <w:rStyle w:val="15"/>
          <w:rFonts w:hint="eastAsia" w:ascii="黑体" w:hAnsi="黑体" w:eastAsia="黑体"/>
          <w:b w:val="0"/>
          <w:color w:val="auto"/>
          <w:highlight w:val="none"/>
        </w:rPr>
        <w:t>政拨款收入支出决算总体情况说明</w:t>
      </w:r>
      <w:bookmarkEnd w:id="19"/>
      <w:bookmarkEnd w:id="20"/>
    </w:p>
    <w:p>
      <w:pPr>
        <w:spacing w:line="600" w:lineRule="exact"/>
        <w:ind w:firstLine="640"/>
        <w:rPr>
          <w:rFonts w:hint="eastAsia" w:ascii="仿宋" w:hAnsi="仿宋" w:eastAsia="方正仿宋简体"/>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1834.6</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82.9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4.73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default" w:ascii="Times New Roman" w:hAnsi="Times New Roman" w:eastAsia="方正仿宋简体" w:cs="Times New Roman"/>
          <w:sz w:val="32"/>
          <w:szCs w:val="32"/>
        </w:rPr>
        <w:t>是人员增加，基本支出增加</w:t>
      </w:r>
      <w:r>
        <w:rPr>
          <w:rFonts w:hint="eastAsia" w:ascii="Times New Roman" w:hAnsi="Times New Roman" w:eastAsia="方正仿宋简体" w:cs="Times New Roman"/>
          <w:sz w:val="32"/>
          <w:szCs w:val="32"/>
          <w:lang w:eastAsia="zh-CN"/>
        </w:rPr>
        <w:t>。</w:t>
      </w:r>
    </w:p>
    <w:p>
      <w:pPr>
        <w:spacing w:line="600" w:lineRule="exact"/>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-2453005</wp:posOffset>
            </wp:positionV>
            <wp:extent cx="4572000" cy="2743200"/>
            <wp:effectExtent l="4445" t="4445" r="1460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jc w:val="center"/>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15"/>
          <w:rFonts w:ascii="黑体" w:hAnsi="黑体" w:eastAsia="黑体"/>
          <w:b w:val="0"/>
          <w:color w:val="auto"/>
          <w:highlight w:val="none"/>
        </w:rPr>
      </w:pPr>
      <w:bookmarkStart w:id="21" w:name="_Toc23103"/>
      <w:bookmarkStart w:id="22" w:name="_Toc1055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28077"/>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firstLineChars="200"/>
        <w:rPr>
          <w:rFonts w:hint="eastAsia" w:ascii="Times New Roman" w:hAnsi="Times New Roman" w:eastAsia="方正仿宋简体" w:cs="Times New Roman"/>
          <w:sz w:val="32"/>
          <w:szCs w:val="32"/>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1834.6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96.03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82.9</w:t>
      </w:r>
      <w:r>
        <w:rPr>
          <w:rFonts w:hint="eastAsia" w:ascii="仿宋" w:hAnsi="仿宋" w:eastAsia="仿宋"/>
          <w:color w:val="auto"/>
          <w:sz w:val="32"/>
          <w:szCs w:val="32"/>
          <w:highlight w:val="none"/>
        </w:rPr>
        <w:t>万万元，增长</w:t>
      </w:r>
      <w:r>
        <w:rPr>
          <w:rFonts w:hint="eastAsia" w:ascii="仿宋" w:hAnsi="仿宋" w:eastAsia="仿宋"/>
          <w:color w:val="auto"/>
          <w:sz w:val="32"/>
          <w:szCs w:val="32"/>
          <w:highlight w:val="none"/>
          <w:lang w:val="en-US" w:eastAsia="zh-CN"/>
        </w:rPr>
        <w:t>4.73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default" w:ascii="Times New Roman" w:hAnsi="Times New Roman" w:eastAsia="方正仿宋简体" w:cs="Times New Roman"/>
          <w:sz w:val="32"/>
          <w:szCs w:val="32"/>
        </w:rPr>
        <w:t>人员增加，基本支出增加</w:t>
      </w:r>
      <w:r>
        <w:rPr>
          <w:rFonts w:hint="eastAsia" w:ascii="Times New Roman" w:hAnsi="Times New Roman" w:eastAsia="方正仿宋简体" w:cs="Times New Roman"/>
          <w:sz w:val="32"/>
          <w:szCs w:val="32"/>
          <w:lang w:eastAsia="zh-CN"/>
        </w:rPr>
        <w:t>。</w:t>
      </w:r>
    </w:p>
    <w:p>
      <w:pPr>
        <w:pStyle w:val="2"/>
        <w:rPr>
          <w:rFonts w:hint="eastAsia" w:ascii="Times New Roman" w:hAnsi="Times New Roman" w:eastAsia="方正仿宋简体" w:cs="Times New Roman"/>
          <w:sz w:val="32"/>
          <w:szCs w:val="32"/>
          <w:lang w:eastAsia="zh-CN"/>
        </w:rPr>
      </w:pPr>
    </w:p>
    <w:p>
      <w:pPr>
        <w:pStyle w:val="2"/>
        <w:rPr>
          <w:rFonts w:hint="eastAsia" w:ascii="Times New Roman" w:hAnsi="Times New Roman" w:eastAsia="方正仿宋简体" w:cs="Times New Roman"/>
          <w:sz w:val="32"/>
          <w:szCs w:val="32"/>
          <w:lang w:eastAsia="zh-CN"/>
        </w:rPr>
      </w:pPr>
    </w:p>
    <w:p>
      <w:pPr>
        <w:pStyle w:val="2"/>
        <w:rPr>
          <w:rFonts w:hint="eastAsia" w:ascii="Times New Roman" w:hAnsi="Times New Roman" w:eastAsia="方正仿宋简体" w:cs="Times New Roman"/>
          <w:sz w:val="32"/>
          <w:szCs w:val="32"/>
          <w:lang w:eastAsia="zh-CN"/>
        </w:rPr>
      </w:pP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0288" behindDoc="1" locked="0" layoutInCell="1" allowOverlap="1">
            <wp:simplePos x="0" y="0"/>
            <wp:positionH relativeFrom="column">
              <wp:posOffset>213995</wp:posOffset>
            </wp:positionH>
            <wp:positionV relativeFrom="paragraph">
              <wp:posOffset>179705</wp:posOffset>
            </wp:positionV>
            <wp:extent cx="4572000" cy="2743200"/>
            <wp:effectExtent l="4445" t="4445" r="1460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4" w:name="_Toc26372"/>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1834.6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1666.72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51.49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113.4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object>
          <v:shape id="_x0000_i1026" o:spt="75" type="#_x0000_t75" style="height:222.75pt;width:366.75pt;" o:ole="t" filled="f" o:preferrelative="t" stroked="f" coordsize="21600,21600">
            <v:path/>
            <v:fill on="f" focussize="0,0"/>
            <v:stroke on="f"/>
            <v:imagedata r:id="rId13" o:title=""/>
            <o:lock v:ext="edit" aspectratio="t"/>
            <w10:wrap type="none"/>
            <w10:anchorlock/>
          </v:shape>
          <o:OLEObject Type="Embed" ProgID="Excel.Chart.8" ShapeID="_x0000_i1026" DrawAspect="Content" ObjectID="_1468075725" r:id="rId12">
            <o:LockedField>false</o:LockedField>
          </o:OLEObject>
        </w:object>
      </w:r>
    </w:p>
    <w:p>
      <w:pPr>
        <w:pStyle w:val="2"/>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25" w:name="_Toc23817"/>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29263"/>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1834.6万元</w:t>
      </w:r>
      <w:r>
        <w:rPr>
          <w:rFonts w:hint="eastAsia" w:ascii="仿宋" w:hAnsi="仿宋" w:eastAsia="仿宋"/>
          <w:color w:val="auto"/>
          <w:sz w:val="32"/>
          <w:szCs w:val="32"/>
          <w:highlight w:val="none"/>
        </w:rPr>
        <w:t>，</w:t>
      </w:r>
      <w:r>
        <w:rPr>
          <w:rStyle w:val="13"/>
          <w:rFonts w:hint="eastAsia" w:ascii="仿宋" w:hAnsi="仿宋" w:eastAsia="仿宋"/>
          <w:bCs/>
          <w:color w:val="auto"/>
          <w:sz w:val="32"/>
          <w:szCs w:val="32"/>
          <w:highlight w:val="none"/>
        </w:rPr>
        <w:t>完成预算</w:t>
      </w:r>
      <w:r>
        <w:rPr>
          <w:rStyle w:val="13"/>
          <w:rFonts w:hint="eastAsia" w:ascii="仿宋" w:hAnsi="仿宋" w:eastAsia="仿宋"/>
          <w:bCs/>
          <w:color w:val="auto"/>
          <w:sz w:val="32"/>
          <w:szCs w:val="32"/>
          <w:highlight w:val="none"/>
          <w:lang w:val="en-US" w:eastAsia="zh-CN"/>
        </w:rPr>
        <w:t>93.89</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。其中：</w:t>
      </w:r>
      <w:bookmarkEnd w:id="26"/>
    </w:p>
    <w:p>
      <w:pPr>
        <w:spacing w:line="600" w:lineRule="exact"/>
        <w:ind w:firstLine="643" w:firstLineChars="200"/>
        <w:rPr>
          <w:rFonts w:hint="default" w:ascii="Times New Roman" w:hAnsi="Times New Roman" w:eastAsia="方正仿宋简体" w:cs="Times New Roman"/>
          <w:b/>
          <w:sz w:val="32"/>
          <w:szCs w:val="32"/>
        </w:rPr>
      </w:pPr>
      <w:r>
        <w:rPr>
          <w:rStyle w:val="13"/>
          <w:rFonts w:hint="default" w:ascii="Times New Roman" w:hAnsi="Times New Roman" w:eastAsia="方正仿宋简体" w:cs="Times New Roman"/>
          <w:bCs/>
          <w:sz w:val="32"/>
          <w:szCs w:val="32"/>
        </w:rPr>
        <w:t>1.教育支出（类）进修及培训（款）培训支出（项）: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2.99</w:t>
      </w:r>
      <w:r>
        <w:rPr>
          <w:rStyle w:val="13"/>
          <w:rFonts w:hint="default" w:ascii="Times New Roman" w:hAnsi="Times New Roman" w:eastAsia="方正仿宋简体" w:cs="Times New Roman"/>
          <w:b w:val="0"/>
          <w:bCs/>
          <w:sz w:val="32"/>
          <w:szCs w:val="32"/>
        </w:rPr>
        <w:t>万元，完成预算100%。</w:t>
      </w:r>
    </w:p>
    <w:p>
      <w:pPr>
        <w:spacing w:line="600" w:lineRule="exact"/>
        <w:ind w:firstLine="643" w:firstLineChars="200"/>
        <w:rPr>
          <w:rStyle w:val="13"/>
          <w:rFonts w:hint="default" w:ascii="Times New Roman" w:hAnsi="Times New Roman" w:eastAsia="方正仿宋简体" w:cs="Times New Roman"/>
          <w:b w:val="0"/>
          <w:bCs/>
          <w:sz w:val="32"/>
          <w:szCs w:val="32"/>
        </w:rPr>
      </w:pPr>
      <w:r>
        <w:rPr>
          <w:rStyle w:val="13"/>
          <w:rFonts w:hint="default" w:ascii="Times New Roman" w:hAnsi="Times New Roman" w:eastAsia="方正仿宋简体" w:cs="Times New Roman"/>
          <w:bCs/>
          <w:sz w:val="32"/>
          <w:szCs w:val="32"/>
        </w:rPr>
        <w:t>2.社会保障和就业支出（类）行政事业单位养老支出（款）事业单位离退休（项）: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197.93</w:t>
      </w:r>
      <w:r>
        <w:rPr>
          <w:rStyle w:val="13"/>
          <w:rFonts w:hint="default" w:ascii="Times New Roman" w:hAnsi="Times New Roman" w:eastAsia="方正仿宋简体" w:cs="Times New Roman"/>
          <w:b w:val="0"/>
          <w:bCs/>
          <w:sz w:val="32"/>
          <w:szCs w:val="32"/>
        </w:rPr>
        <w:t>万元，完成预算100%。</w:t>
      </w:r>
    </w:p>
    <w:p>
      <w:pPr>
        <w:spacing w:line="600" w:lineRule="exact"/>
        <w:ind w:firstLine="643" w:firstLineChars="200"/>
        <w:rPr>
          <w:rStyle w:val="13"/>
          <w:rFonts w:hint="default" w:ascii="Times New Roman" w:hAnsi="Times New Roman" w:eastAsia="方正仿宋简体" w:cs="Times New Roman"/>
          <w:b w:val="0"/>
          <w:bCs/>
          <w:sz w:val="32"/>
          <w:szCs w:val="32"/>
        </w:rPr>
      </w:pPr>
      <w:r>
        <w:rPr>
          <w:rStyle w:val="13"/>
          <w:rFonts w:hint="default" w:ascii="Times New Roman" w:hAnsi="Times New Roman" w:eastAsia="方正仿宋简体" w:cs="Times New Roman"/>
          <w:bCs/>
          <w:sz w:val="32"/>
          <w:szCs w:val="32"/>
        </w:rPr>
        <w:t>3.社会保障和就业支出（类）行政事业单位养老支出（款）机关事业单位基本养老保险缴费支出（项）: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96.08</w:t>
      </w:r>
      <w:r>
        <w:rPr>
          <w:rStyle w:val="13"/>
          <w:rFonts w:hint="default" w:ascii="Times New Roman" w:hAnsi="Times New Roman" w:eastAsia="方正仿宋简体" w:cs="Times New Roman"/>
          <w:b w:val="0"/>
          <w:bCs/>
          <w:sz w:val="32"/>
          <w:szCs w:val="32"/>
        </w:rPr>
        <w:t>万元，完成预算100%。</w:t>
      </w:r>
    </w:p>
    <w:p>
      <w:pPr>
        <w:pStyle w:val="2"/>
        <w:spacing w:before="93"/>
        <w:ind w:firstLine="643" w:firstLineChars="200"/>
        <w:rPr>
          <w:rStyle w:val="13"/>
          <w:rFonts w:hint="default" w:ascii="Times New Roman" w:hAnsi="Times New Roman" w:eastAsia="方正仿宋简体" w:cs="Times New Roman"/>
          <w:b w:val="0"/>
          <w:bCs/>
          <w:sz w:val="32"/>
          <w:szCs w:val="32"/>
        </w:rPr>
      </w:pPr>
      <w:r>
        <w:rPr>
          <w:rStyle w:val="13"/>
          <w:rFonts w:hint="default" w:ascii="Times New Roman" w:hAnsi="Times New Roman" w:eastAsia="方正仿宋简体" w:cs="Times New Roman"/>
          <w:bCs/>
          <w:sz w:val="32"/>
          <w:szCs w:val="32"/>
        </w:rPr>
        <w:t>4.社会保障和就业支出（类）行政事业单位养老支出（款）机关事业单位职业年金缴费支出（项）: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48.05</w:t>
      </w:r>
      <w:r>
        <w:rPr>
          <w:rStyle w:val="13"/>
          <w:rFonts w:hint="default" w:ascii="Times New Roman" w:hAnsi="Times New Roman" w:eastAsia="方正仿宋简体" w:cs="Times New Roman"/>
          <w:b w:val="0"/>
          <w:bCs/>
          <w:sz w:val="32"/>
          <w:szCs w:val="32"/>
        </w:rPr>
        <w:t>万元，完成预算100%。</w:t>
      </w:r>
    </w:p>
    <w:p>
      <w:pPr>
        <w:pStyle w:val="2"/>
        <w:spacing w:before="93"/>
        <w:ind w:firstLine="643" w:firstLineChars="200"/>
        <w:rPr>
          <w:rStyle w:val="13"/>
          <w:rFonts w:hint="default" w:ascii="Times New Roman" w:hAnsi="Times New Roman" w:eastAsia="方正仿宋简体" w:cs="Times New Roman"/>
          <w:b w:val="0"/>
          <w:bCs/>
          <w:sz w:val="32"/>
          <w:szCs w:val="32"/>
          <w:lang w:val="en-US" w:eastAsia="zh-CN"/>
        </w:rPr>
      </w:pPr>
      <w:r>
        <w:rPr>
          <w:rStyle w:val="13"/>
          <w:rFonts w:hint="default" w:ascii="Times New Roman" w:hAnsi="Times New Roman" w:eastAsia="方正仿宋简体" w:cs="Times New Roman"/>
          <w:bCs/>
          <w:sz w:val="32"/>
          <w:szCs w:val="32"/>
        </w:rPr>
        <w:t>5.社会保障和就业支出（类）抚恤（款）死亡抚恤（项）: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52.97</w:t>
      </w:r>
      <w:r>
        <w:rPr>
          <w:rStyle w:val="13"/>
          <w:rFonts w:hint="default" w:ascii="Times New Roman" w:hAnsi="Times New Roman" w:eastAsia="方正仿宋简体" w:cs="Times New Roman"/>
          <w:b w:val="0"/>
          <w:bCs/>
          <w:sz w:val="32"/>
          <w:szCs w:val="32"/>
        </w:rPr>
        <w:t>万元，完成预算100%。</w:t>
      </w:r>
    </w:p>
    <w:p>
      <w:pPr>
        <w:pStyle w:val="2"/>
        <w:spacing w:before="93"/>
        <w:ind w:firstLine="643" w:firstLineChars="200"/>
        <w:rPr>
          <w:rStyle w:val="13"/>
          <w:rFonts w:hint="default" w:ascii="Times New Roman" w:hAnsi="Times New Roman" w:eastAsia="方正仿宋简体" w:cs="Times New Roman"/>
          <w:b w:val="0"/>
          <w:bCs/>
          <w:sz w:val="32"/>
          <w:szCs w:val="32"/>
          <w:lang w:val="en-US" w:eastAsia="zh-CN"/>
        </w:rPr>
      </w:pPr>
      <w:r>
        <w:rPr>
          <w:rStyle w:val="13"/>
          <w:rFonts w:hint="default" w:ascii="Times New Roman" w:hAnsi="Times New Roman" w:eastAsia="方正仿宋简体" w:cs="Times New Roman"/>
          <w:bCs/>
          <w:sz w:val="32"/>
          <w:szCs w:val="32"/>
        </w:rPr>
        <w:t>6.社会保障和就业支出（类）退役军人管理事务（款）军供保障（项）: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352.55</w:t>
      </w:r>
      <w:r>
        <w:rPr>
          <w:rStyle w:val="13"/>
          <w:rFonts w:hint="default" w:ascii="Times New Roman" w:hAnsi="Times New Roman" w:eastAsia="方正仿宋简体" w:cs="Times New Roman"/>
          <w:b w:val="0"/>
          <w:bCs/>
          <w:sz w:val="32"/>
          <w:szCs w:val="32"/>
        </w:rPr>
        <w:t>万元，完成预算</w:t>
      </w:r>
      <w:r>
        <w:rPr>
          <w:rStyle w:val="13"/>
          <w:rFonts w:hint="eastAsia" w:ascii="Times New Roman" w:hAnsi="Times New Roman" w:eastAsia="方正仿宋简体" w:cs="Times New Roman"/>
          <w:b w:val="0"/>
          <w:bCs/>
          <w:sz w:val="32"/>
          <w:szCs w:val="32"/>
          <w:lang w:val="en-US" w:eastAsia="zh-CN"/>
        </w:rPr>
        <w:t>74.71</w:t>
      </w:r>
      <w:r>
        <w:rPr>
          <w:rStyle w:val="13"/>
          <w:rFonts w:hint="default" w:ascii="Times New Roman" w:hAnsi="Times New Roman" w:eastAsia="方正仿宋简体" w:cs="Times New Roman"/>
          <w:b w:val="0"/>
          <w:bCs/>
          <w:sz w:val="32"/>
          <w:szCs w:val="32"/>
        </w:rPr>
        <w:t>%。</w:t>
      </w:r>
      <w:r>
        <w:rPr>
          <w:rStyle w:val="13"/>
          <w:rFonts w:hint="eastAsia" w:ascii="Times New Roman" w:hAnsi="Times New Roman" w:eastAsia="方正仿宋简体" w:cs="Times New Roman"/>
          <w:b w:val="0"/>
          <w:bCs/>
          <w:sz w:val="32"/>
          <w:szCs w:val="32"/>
          <w:lang w:val="en-US" w:eastAsia="zh-CN"/>
        </w:rPr>
        <w:t>未完成预算的原因是由于是特种专业技术用车，交车后需在专业网站上挂网2个月后才能上牌，依据合同约定需在交车上牌后支付尾款，因此尾款资金需结转至2024年支付。</w:t>
      </w:r>
    </w:p>
    <w:p>
      <w:pPr>
        <w:pStyle w:val="2"/>
        <w:spacing w:before="93"/>
        <w:ind w:firstLine="643" w:firstLineChars="200"/>
        <w:rPr>
          <w:rStyle w:val="13"/>
          <w:rFonts w:hint="default" w:ascii="Times New Roman" w:hAnsi="Times New Roman" w:eastAsia="方正仿宋简体" w:cs="Times New Roman"/>
          <w:b w:val="0"/>
          <w:bCs/>
          <w:sz w:val="32"/>
          <w:szCs w:val="32"/>
        </w:rPr>
      </w:pPr>
      <w:r>
        <w:rPr>
          <w:rStyle w:val="13"/>
          <w:rFonts w:hint="default" w:ascii="Times New Roman" w:hAnsi="Times New Roman" w:eastAsia="方正仿宋简体" w:cs="Times New Roman"/>
          <w:bCs/>
          <w:sz w:val="32"/>
          <w:szCs w:val="32"/>
        </w:rPr>
        <w:t>7.社会保障和就业支出（类）退役军人管理事务（款）事业运行（项）: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786.86</w:t>
      </w:r>
      <w:r>
        <w:rPr>
          <w:rStyle w:val="13"/>
          <w:rFonts w:hint="default" w:ascii="Times New Roman" w:hAnsi="Times New Roman" w:eastAsia="方正仿宋简体" w:cs="Times New Roman"/>
          <w:b w:val="0"/>
          <w:bCs/>
          <w:sz w:val="32"/>
          <w:szCs w:val="32"/>
        </w:rPr>
        <w:t>万元，完成预算100%。</w:t>
      </w:r>
    </w:p>
    <w:p>
      <w:pPr>
        <w:pStyle w:val="2"/>
        <w:spacing w:before="93"/>
        <w:ind w:firstLine="643" w:firstLineChars="200"/>
        <w:rPr>
          <w:rStyle w:val="13"/>
          <w:rFonts w:hint="default" w:ascii="Times New Roman" w:hAnsi="Times New Roman" w:eastAsia="方正仿宋简体" w:cs="Times New Roman"/>
          <w:b w:val="0"/>
          <w:bCs/>
          <w:sz w:val="32"/>
          <w:szCs w:val="32"/>
        </w:rPr>
      </w:pPr>
      <w:r>
        <w:rPr>
          <w:rStyle w:val="13"/>
          <w:rFonts w:hint="default" w:ascii="Times New Roman" w:hAnsi="Times New Roman" w:eastAsia="方正仿宋简体" w:cs="Times New Roman"/>
          <w:bCs/>
          <w:sz w:val="32"/>
          <w:szCs w:val="32"/>
        </w:rPr>
        <w:t>8.社会保障和就业支出（类）退役军人管理事务（款）其他退役军人事务管理支出（项）: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117.46</w:t>
      </w:r>
      <w:r>
        <w:rPr>
          <w:rStyle w:val="13"/>
          <w:rFonts w:hint="default" w:ascii="Times New Roman" w:hAnsi="Times New Roman" w:eastAsia="方正仿宋简体" w:cs="Times New Roman"/>
          <w:b w:val="0"/>
          <w:bCs/>
          <w:sz w:val="32"/>
          <w:szCs w:val="32"/>
        </w:rPr>
        <w:t>万元，完成预算100%。</w:t>
      </w:r>
    </w:p>
    <w:p>
      <w:pPr>
        <w:pStyle w:val="2"/>
        <w:spacing w:before="93"/>
        <w:ind w:firstLine="643" w:firstLineChars="200"/>
        <w:rPr>
          <w:rStyle w:val="13"/>
          <w:rFonts w:hint="default" w:ascii="Times New Roman" w:hAnsi="Times New Roman" w:eastAsia="方正仿宋简体" w:cs="Times New Roman"/>
          <w:bCs/>
          <w:sz w:val="32"/>
          <w:szCs w:val="32"/>
        </w:rPr>
      </w:pPr>
      <w:r>
        <w:rPr>
          <w:rStyle w:val="13"/>
          <w:rFonts w:hint="default" w:ascii="Times New Roman" w:hAnsi="Times New Roman" w:eastAsia="方正仿宋简体" w:cs="Times New Roman"/>
          <w:bCs/>
          <w:sz w:val="32"/>
          <w:szCs w:val="32"/>
        </w:rPr>
        <w:t>9.社会保障和就业支出（类）其他社会保障和就业支出（款）其他社会保障和就业支出（项）:</w:t>
      </w:r>
      <w:r>
        <w:rPr>
          <w:rStyle w:val="13"/>
          <w:rFonts w:hint="default" w:ascii="Times New Roman" w:hAnsi="Times New Roman" w:eastAsia="方正仿宋简体" w:cs="Times New Roman"/>
          <w:b w:val="0"/>
          <w:bCs/>
          <w:sz w:val="32"/>
          <w:szCs w:val="32"/>
        </w:rPr>
        <w:t xml:space="preserve"> 支出决算为</w:t>
      </w:r>
      <w:r>
        <w:rPr>
          <w:rStyle w:val="13"/>
          <w:rFonts w:hint="eastAsia" w:ascii="Times New Roman" w:hAnsi="Times New Roman" w:eastAsia="方正仿宋简体" w:cs="Times New Roman"/>
          <w:b w:val="0"/>
          <w:bCs/>
          <w:sz w:val="32"/>
          <w:szCs w:val="32"/>
          <w:lang w:val="en-US" w:eastAsia="zh-CN"/>
        </w:rPr>
        <w:t>14.82</w:t>
      </w:r>
      <w:r>
        <w:rPr>
          <w:rStyle w:val="13"/>
          <w:rFonts w:hint="default" w:ascii="Times New Roman" w:hAnsi="Times New Roman" w:eastAsia="方正仿宋简体" w:cs="Times New Roman"/>
          <w:b w:val="0"/>
          <w:bCs/>
          <w:sz w:val="32"/>
          <w:szCs w:val="32"/>
        </w:rPr>
        <w:t>万元，完成预算100%。</w:t>
      </w:r>
    </w:p>
    <w:p>
      <w:pPr>
        <w:spacing w:line="600" w:lineRule="exact"/>
        <w:ind w:firstLine="643" w:firstLineChars="200"/>
        <w:rPr>
          <w:rFonts w:hint="default" w:ascii="Times New Roman" w:hAnsi="Times New Roman" w:eastAsia="方正仿宋简体" w:cs="Times New Roman"/>
          <w:b/>
          <w:sz w:val="32"/>
          <w:szCs w:val="32"/>
        </w:rPr>
      </w:pPr>
      <w:r>
        <w:rPr>
          <w:rStyle w:val="13"/>
          <w:rFonts w:hint="default" w:ascii="Times New Roman" w:hAnsi="Times New Roman" w:eastAsia="方正仿宋简体" w:cs="Times New Roman"/>
          <w:bCs/>
          <w:sz w:val="32"/>
          <w:szCs w:val="32"/>
        </w:rPr>
        <w:t>10.</w:t>
      </w:r>
      <w:r>
        <w:rPr>
          <w:rFonts w:hint="default" w:ascii="Times New Roman" w:hAnsi="Times New Roman" w:eastAsia="方正仿宋简体" w:cs="Times New Roman"/>
          <w:b/>
          <w:bCs/>
          <w:sz w:val="32"/>
          <w:szCs w:val="32"/>
        </w:rPr>
        <w:t>卫生健康</w:t>
      </w:r>
      <w:r>
        <w:rPr>
          <w:rStyle w:val="13"/>
          <w:rFonts w:hint="default" w:ascii="Times New Roman" w:hAnsi="Times New Roman" w:eastAsia="方正仿宋简体" w:cs="Times New Roman"/>
          <w:bCs/>
          <w:sz w:val="32"/>
          <w:szCs w:val="32"/>
        </w:rPr>
        <w:t>支出（类）行政事业单位医疗（款）事业单位医疗（项）:</w:t>
      </w:r>
      <w:r>
        <w:rPr>
          <w:rStyle w:val="13"/>
          <w:rFonts w:hint="default" w:ascii="Times New Roman" w:hAnsi="Times New Roman" w:eastAsia="方正仿宋简体" w:cs="Times New Roman"/>
          <w:b w:val="0"/>
          <w:bCs/>
          <w:sz w:val="32"/>
          <w:szCs w:val="32"/>
        </w:rPr>
        <w:t>支出决算为</w:t>
      </w:r>
      <w:r>
        <w:rPr>
          <w:rStyle w:val="13"/>
          <w:rFonts w:hint="eastAsia" w:ascii="Times New Roman" w:hAnsi="Times New Roman" w:eastAsia="方正仿宋简体" w:cs="Times New Roman"/>
          <w:b w:val="0"/>
          <w:bCs/>
          <w:sz w:val="32"/>
          <w:szCs w:val="32"/>
          <w:lang w:val="en-US" w:eastAsia="zh-CN"/>
        </w:rPr>
        <w:t>51.49</w:t>
      </w:r>
      <w:r>
        <w:rPr>
          <w:rStyle w:val="13"/>
          <w:rFonts w:hint="default" w:ascii="Times New Roman" w:hAnsi="Times New Roman" w:eastAsia="方正仿宋简体" w:cs="Times New Roman"/>
          <w:b w:val="0"/>
          <w:bCs/>
          <w:sz w:val="32"/>
          <w:szCs w:val="32"/>
        </w:rPr>
        <w:t>万元，完成预算100%。</w:t>
      </w:r>
    </w:p>
    <w:p>
      <w:pPr>
        <w:spacing w:line="600" w:lineRule="exact"/>
        <w:ind w:firstLine="643" w:firstLineChars="200"/>
        <w:rPr>
          <w:rFonts w:hint="default" w:ascii="Times New Roman" w:hAnsi="Times New Roman" w:eastAsia="方正仿宋简体" w:cs="Times New Roman"/>
          <w:b/>
          <w:sz w:val="32"/>
          <w:szCs w:val="32"/>
        </w:rPr>
      </w:pPr>
      <w:r>
        <w:rPr>
          <w:rStyle w:val="13"/>
          <w:rFonts w:hint="default" w:ascii="Times New Roman" w:hAnsi="Times New Roman" w:eastAsia="方正仿宋简体" w:cs="Times New Roman"/>
          <w:bCs/>
          <w:sz w:val="32"/>
          <w:szCs w:val="32"/>
        </w:rPr>
        <w:t>11.</w:t>
      </w:r>
      <w:r>
        <w:rPr>
          <w:rFonts w:hint="default" w:ascii="Times New Roman" w:hAnsi="Times New Roman" w:eastAsia="方正仿宋简体" w:cs="Times New Roman"/>
          <w:b/>
          <w:bCs/>
          <w:sz w:val="32"/>
          <w:szCs w:val="32"/>
        </w:rPr>
        <w:t>住房保障支出</w:t>
      </w:r>
      <w:r>
        <w:rPr>
          <w:rStyle w:val="13"/>
          <w:rFonts w:hint="default" w:ascii="Times New Roman" w:hAnsi="Times New Roman" w:eastAsia="方正仿宋简体" w:cs="Times New Roman"/>
          <w:bCs/>
          <w:sz w:val="32"/>
          <w:szCs w:val="32"/>
        </w:rPr>
        <w:t>（类）住房改革支出（款）住房公积金（项）:</w:t>
      </w:r>
      <w:r>
        <w:rPr>
          <w:rStyle w:val="13"/>
          <w:rFonts w:hint="default" w:ascii="Times New Roman" w:hAnsi="Times New Roman" w:eastAsia="方正仿宋简体" w:cs="Times New Roman"/>
          <w:b w:val="0"/>
          <w:bCs/>
          <w:sz w:val="32"/>
          <w:szCs w:val="32"/>
        </w:rPr>
        <w:t>支出决算为</w:t>
      </w:r>
      <w:r>
        <w:rPr>
          <w:rStyle w:val="13"/>
          <w:rFonts w:hint="eastAsia" w:ascii="Times New Roman" w:hAnsi="Times New Roman" w:eastAsia="方正仿宋简体" w:cs="Times New Roman"/>
          <w:b w:val="0"/>
          <w:bCs/>
          <w:sz w:val="32"/>
          <w:szCs w:val="32"/>
          <w:lang w:val="en-US" w:eastAsia="zh-CN"/>
        </w:rPr>
        <w:t>71.75</w:t>
      </w:r>
      <w:r>
        <w:rPr>
          <w:rStyle w:val="13"/>
          <w:rFonts w:hint="default" w:ascii="Times New Roman" w:hAnsi="Times New Roman" w:eastAsia="方正仿宋简体" w:cs="Times New Roman"/>
          <w:b w:val="0"/>
          <w:bCs/>
          <w:sz w:val="32"/>
          <w:szCs w:val="32"/>
        </w:rPr>
        <w:t>万元，完成预算100%。</w:t>
      </w:r>
    </w:p>
    <w:p>
      <w:pPr>
        <w:pStyle w:val="2"/>
        <w:ind w:firstLine="643" w:firstLineChars="200"/>
        <w:rPr>
          <w:rFonts w:ascii="仿宋" w:hAnsi="仿宋" w:eastAsia="仿宋"/>
          <w:b/>
          <w:color w:val="auto"/>
          <w:sz w:val="32"/>
          <w:szCs w:val="32"/>
          <w:highlight w:val="none"/>
        </w:rPr>
      </w:pPr>
      <w:r>
        <w:rPr>
          <w:rStyle w:val="13"/>
          <w:rFonts w:hint="default" w:ascii="Times New Roman" w:hAnsi="Times New Roman" w:eastAsia="方正仿宋简体" w:cs="Times New Roman"/>
          <w:bCs/>
          <w:sz w:val="32"/>
          <w:szCs w:val="32"/>
        </w:rPr>
        <w:t>12.</w:t>
      </w:r>
      <w:r>
        <w:rPr>
          <w:rFonts w:hint="default" w:ascii="Times New Roman" w:hAnsi="Times New Roman" w:eastAsia="方正仿宋简体" w:cs="Times New Roman"/>
          <w:b/>
          <w:bCs/>
          <w:sz w:val="32"/>
          <w:szCs w:val="32"/>
        </w:rPr>
        <w:t>住房保障支出</w:t>
      </w:r>
      <w:r>
        <w:rPr>
          <w:rStyle w:val="13"/>
          <w:rFonts w:hint="default" w:ascii="Times New Roman" w:hAnsi="Times New Roman" w:eastAsia="方正仿宋简体" w:cs="Times New Roman"/>
          <w:bCs/>
          <w:sz w:val="32"/>
          <w:szCs w:val="32"/>
        </w:rPr>
        <w:t>（类）住房改革支出（款）购房补贴（项）:</w:t>
      </w:r>
      <w:r>
        <w:rPr>
          <w:rStyle w:val="13"/>
          <w:rFonts w:hint="default" w:ascii="Times New Roman" w:hAnsi="Times New Roman" w:eastAsia="方正仿宋简体" w:cs="Times New Roman"/>
          <w:b w:val="0"/>
          <w:bCs/>
          <w:sz w:val="32"/>
          <w:szCs w:val="32"/>
        </w:rPr>
        <w:t>支出决算为</w:t>
      </w:r>
      <w:r>
        <w:rPr>
          <w:rStyle w:val="13"/>
          <w:rFonts w:hint="eastAsia" w:ascii="Times New Roman" w:hAnsi="Times New Roman" w:eastAsia="方正仿宋简体" w:cs="Times New Roman"/>
          <w:b w:val="0"/>
          <w:bCs/>
          <w:sz w:val="32"/>
          <w:szCs w:val="32"/>
          <w:lang w:val="en-US" w:eastAsia="zh-CN"/>
        </w:rPr>
        <w:t>41.65</w:t>
      </w:r>
      <w:r>
        <w:rPr>
          <w:rStyle w:val="13"/>
          <w:rFonts w:hint="default" w:ascii="Times New Roman" w:hAnsi="Times New Roman" w:eastAsia="方正仿宋简体" w:cs="Times New Roman"/>
          <w:b w:val="0"/>
          <w:bCs/>
          <w:sz w:val="32"/>
          <w:szCs w:val="32"/>
        </w:rPr>
        <w:t>万元，完成预算100%。</w:t>
      </w:r>
    </w:p>
    <w:p>
      <w:pPr>
        <w:tabs>
          <w:tab w:val="right" w:pos="8306"/>
        </w:tabs>
        <w:spacing w:line="600" w:lineRule="exact"/>
        <w:ind w:firstLine="640"/>
        <w:outlineLvl w:val="1"/>
        <w:rPr>
          <w:rStyle w:val="15"/>
          <w:color w:val="auto"/>
          <w:highlight w:val="none"/>
        </w:rPr>
      </w:pPr>
      <w:bookmarkStart w:id="27" w:name="_Toc2585"/>
      <w:bookmarkStart w:id="28" w:name="_Toc13356"/>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般公共预算财政拨款基本支出决算情况说明</w:t>
      </w:r>
      <w:bookmarkEnd w:id="27"/>
      <w:bookmarkEnd w:id="28"/>
      <w:r>
        <w:rPr>
          <w:rStyle w:val="1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1364.59</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1259.34</w:t>
      </w:r>
      <w:r>
        <w:rPr>
          <w:rFonts w:hint="eastAsia" w:ascii="仿宋" w:hAnsi="仿宋" w:eastAsia="仿宋"/>
          <w:color w:val="auto"/>
          <w:sz w:val="32"/>
          <w:szCs w:val="32"/>
          <w:highlight w:val="none"/>
        </w:rPr>
        <w:t>万元，主要包括：基本工资、津贴补贴、绩效工资、机关事业单位基本养老保险缴费、机关事业单位</w:t>
      </w:r>
      <w:r>
        <w:rPr>
          <w:rFonts w:hint="eastAsia" w:ascii="仿宋" w:hAnsi="仿宋" w:eastAsia="仿宋"/>
          <w:color w:val="auto"/>
          <w:sz w:val="32"/>
          <w:szCs w:val="32"/>
          <w:highlight w:val="none"/>
          <w:lang w:val="en-US" w:eastAsia="zh-CN"/>
        </w:rPr>
        <w:t>职工基本医疗保险、</w:t>
      </w:r>
      <w:r>
        <w:rPr>
          <w:rFonts w:hint="eastAsia" w:ascii="仿宋" w:hAnsi="仿宋" w:eastAsia="仿宋"/>
          <w:color w:val="auto"/>
          <w:sz w:val="32"/>
          <w:szCs w:val="32"/>
          <w:highlight w:val="none"/>
        </w:rPr>
        <w:t>职业年金缴费、其他社会保障缴费、离休费、退休费、抚恤金、生活补助、奖励金、住房公积金、其他对个人和家庭的补助支出等。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105.25</w:t>
      </w:r>
      <w:r>
        <w:rPr>
          <w:rFonts w:hint="eastAsia" w:ascii="仿宋" w:hAnsi="仿宋" w:eastAsia="仿宋"/>
          <w:color w:val="auto"/>
          <w:sz w:val="32"/>
          <w:szCs w:val="32"/>
          <w:highlight w:val="none"/>
        </w:rPr>
        <w:t>万元，主要包括：办公费、咨询费、邮电费、物业管理费、差旅费、会议费、培训费、公务接待费、工会经费、福利费、公务用车运行维护费、其他商品和服务支出等。</w:t>
      </w:r>
    </w:p>
    <w:p>
      <w:pPr>
        <w:spacing w:line="600" w:lineRule="exact"/>
        <w:ind w:firstLine="640"/>
        <w:outlineLvl w:val="1"/>
        <w:rPr>
          <w:rStyle w:val="15"/>
          <w:rFonts w:ascii="黑体" w:hAnsi="黑体" w:eastAsia="黑体"/>
          <w:b w:val="0"/>
          <w:color w:val="auto"/>
          <w:highlight w:val="none"/>
        </w:rPr>
      </w:pPr>
      <w:bookmarkStart w:id="29" w:name="_Toc29306"/>
      <w:bookmarkStart w:id="30" w:name="_Toc10260"/>
      <w:r>
        <w:rPr>
          <w:rFonts w:hint="eastAsia" w:ascii="黑体" w:eastAsia="黑体"/>
          <w:color w:val="auto"/>
          <w:sz w:val="32"/>
          <w:szCs w:val="32"/>
          <w:highlight w:val="none"/>
        </w:rPr>
        <w:t>七、</w:t>
      </w:r>
      <w:r>
        <w:rPr>
          <w:rStyle w:val="15"/>
          <w:rFonts w:hint="eastAsia" w:ascii="黑体" w:hAnsi="黑体" w:eastAsia="黑体"/>
          <w:b w:val="0"/>
          <w:color w:val="auto"/>
          <w:highlight w:val="none"/>
        </w:rPr>
        <w:t>财政拨款</w:t>
      </w:r>
      <w:r>
        <w:rPr>
          <w:rStyle w:val="15"/>
          <w:rFonts w:hint="eastAsia" w:ascii="黑体" w:hAnsi="黑体" w:eastAsia="黑体"/>
          <w:color w:val="auto"/>
          <w:highlight w:val="none"/>
        </w:rPr>
        <w:t>“</w:t>
      </w:r>
      <w:r>
        <w:rPr>
          <w:rStyle w:val="15"/>
          <w:rFonts w:hint="eastAsia" w:ascii="黑体" w:hAnsi="黑体" w:eastAsia="黑体"/>
          <w:b w:val="0"/>
          <w:color w:val="auto"/>
          <w:highlight w:val="none"/>
        </w:rPr>
        <w:t>三公”经费支出决算情况说明</w:t>
      </w:r>
      <w:bookmarkEnd w:id="29"/>
      <w:bookmarkEnd w:id="30"/>
    </w:p>
    <w:p>
      <w:pPr>
        <w:spacing w:line="600" w:lineRule="exact"/>
        <w:ind w:firstLine="640"/>
        <w:outlineLvl w:val="2"/>
        <w:rPr>
          <w:rFonts w:ascii="仿宋" w:hAnsi="仿宋" w:eastAsia="仿宋"/>
          <w:b/>
          <w:color w:val="auto"/>
          <w:sz w:val="32"/>
          <w:szCs w:val="32"/>
          <w:highlight w:val="none"/>
        </w:rPr>
      </w:pPr>
      <w:bookmarkStart w:id="31" w:name="_Toc20746"/>
      <w:r>
        <w:rPr>
          <w:rFonts w:hint="eastAsia" w:ascii="仿宋" w:hAnsi="仿宋" w:eastAsia="仿宋"/>
          <w:b/>
          <w:color w:val="auto"/>
          <w:sz w:val="32"/>
          <w:szCs w:val="32"/>
          <w:highlight w:val="none"/>
        </w:rPr>
        <w:t>（一）“三公”经费财政拨款支出决算总体情况说明</w:t>
      </w:r>
      <w:bookmarkEnd w:id="31"/>
    </w:p>
    <w:p>
      <w:pPr>
        <w:spacing w:line="600" w:lineRule="exact"/>
        <w:ind w:firstLine="64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5.95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99.17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w:t>
      </w:r>
      <w:r>
        <w:rPr>
          <w:rFonts w:hint="eastAsia" w:ascii="仿宋" w:hAnsi="仿宋" w:eastAsia="仿宋"/>
          <w:color w:val="auto"/>
          <w:sz w:val="32"/>
          <w:szCs w:val="32"/>
          <w:highlight w:val="none"/>
          <w:lang w:val="en-US" w:eastAsia="zh-CN"/>
        </w:rPr>
        <w:t>减少0.01万元，下降0.17%。决算数小于预算数的主要原因是公务用车运行维护费降低。</w:t>
      </w:r>
    </w:p>
    <w:p>
      <w:pPr>
        <w:spacing w:line="600" w:lineRule="exact"/>
        <w:ind w:firstLine="640"/>
        <w:outlineLvl w:val="2"/>
        <w:rPr>
          <w:rFonts w:ascii="仿宋" w:hAnsi="仿宋" w:eastAsia="仿宋"/>
          <w:b/>
          <w:color w:val="auto"/>
          <w:sz w:val="32"/>
          <w:szCs w:val="32"/>
          <w:highlight w:val="none"/>
        </w:rPr>
      </w:pPr>
      <w:bookmarkStart w:id="32" w:name="_Toc14687"/>
      <w:r>
        <w:rPr>
          <w:rFonts w:hint="eastAsia" w:ascii="仿宋" w:hAnsi="仿宋" w:eastAsia="仿宋"/>
          <w:b/>
          <w:color w:val="auto"/>
          <w:sz w:val="32"/>
          <w:szCs w:val="32"/>
          <w:highlight w:val="none"/>
        </w:rPr>
        <w:t>（二）“三公”经费财政拨款支出决算具体情况说明</w:t>
      </w:r>
      <w:bookmarkEnd w:id="32"/>
    </w:p>
    <w:p>
      <w:pPr>
        <w:spacing w:line="600" w:lineRule="exact"/>
        <w:ind w:firstLine="640"/>
        <w:rPr>
          <w:rFonts w:hint="eastAsia" w:ascii="仿宋_GB2312" w:eastAsia="仿宋_GB2312"/>
          <w:b/>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95.8</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ind w:left="0" w:leftChars="0" w:firstLine="0" w:firstLineChars="0"/>
        <w:jc w:val="center"/>
        <w:rPr>
          <w:rFonts w:ascii="仿宋_GB2312" w:eastAsia="仿宋_GB2312"/>
          <w:b/>
          <w:color w:val="auto"/>
          <w:sz w:val="32"/>
          <w:szCs w:val="32"/>
          <w:highlight w:val="none"/>
        </w:rPr>
      </w:pPr>
      <w: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pPr>
        <w:numPr>
          <w:ilvl w:val="0"/>
          <w:numId w:val="0"/>
        </w:numPr>
        <w:spacing w:line="600" w:lineRule="exact"/>
        <w:ind w:firstLine="643" w:firstLineChars="200"/>
        <w:rPr>
          <w:rStyle w:val="13"/>
          <w:rFonts w:hint="default" w:ascii="仿宋" w:hAnsi="仿宋" w:eastAsia="仿宋"/>
          <w:b w:val="0"/>
          <w:bCs/>
          <w:color w:val="auto"/>
          <w:sz w:val="32"/>
          <w:szCs w:val="32"/>
          <w:highlight w:val="none"/>
          <w:lang w:val="en-US" w:eastAsia="zh-CN"/>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全年安排因公出国（境）团组0次，出国（境）0人，因公出国（境）支出决算与2022年度持平。</w:t>
      </w:r>
    </w:p>
    <w:p>
      <w:pPr>
        <w:numPr>
          <w:ilvl w:val="0"/>
          <w:numId w:val="0"/>
        </w:numPr>
        <w:spacing w:line="600" w:lineRule="exact"/>
        <w:ind w:firstLine="643" w:firstLineChars="200"/>
        <w:rPr>
          <w:rFonts w:hint="default" w:ascii="仿宋_GB2312" w:eastAsia="仿宋_GB2312"/>
          <w:b/>
          <w:color w:val="auto"/>
          <w:sz w:val="32"/>
          <w:szCs w:val="32"/>
          <w:highlight w:val="none"/>
          <w:lang w:val="en-US"/>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p>
    <w:p>
      <w:pPr>
        <w:spacing w:line="600" w:lineRule="exact"/>
        <w:ind w:firstLine="64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其中：轿车0辆、金额0万元，越野车0辆、金额0万元，载客汽车0辆、金额0万元。</w:t>
      </w: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w:t>
      </w:r>
      <w:r>
        <w:rPr>
          <w:rFonts w:hint="default" w:ascii="Times New Roman" w:hAnsi="Times New Roman" w:eastAsia="方正仿宋简体" w:cs="Times New Roman"/>
          <w:sz w:val="32"/>
          <w:szCs w:val="32"/>
        </w:rPr>
        <w:t>公务用车8辆，其中：轿车1辆、越野车0辆、载客汽车2辆</w:t>
      </w:r>
      <w:r>
        <w:rPr>
          <w:rFonts w:hint="eastAsia" w:eastAsia="方正仿宋简体" w:cs="Times New Roman"/>
          <w:sz w:val="32"/>
          <w:szCs w:val="32"/>
          <w:lang w:eastAsia="zh-CN"/>
        </w:rPr>
        <w:t>、</w:t>
      </w:r>
      <w:r>
        <w:rPr>
          <w:rFonts w:hint="eastAsia" w:eastAsia="方正仿宋简体" w:cs="Times New Roman"/>
          <w:sz w:val="32"/>
          <w:szCs w:val="32"/>
          <w:lang w:val="en-US" w:eastAsia="zh-CN"/>
        </w:rPr>
        <w:t>其他车辆5辆</w:t>
      </w:r>
      <w:r>
        <w:rPr>
          <w:rFonts w:hint="default" w:ascii="Times New Roman" w:hAnsi="Times New Roman" w:eastAsia="方正仿宋简体" w:cs="Times New Roman"/>
          <w:sz w:val="32"/>
          <w:szCs w:val="32"/>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过往部队保障</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83.33</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0.25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开展业务活动开支的餐费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广东省军用供应站学习调研，接待金额0.16万元，雅安军供站汇报工作，接待金额0.09万元</w:t>
      </w:r>
      <w:r>
        <w:rPr>
          <w:rFonts w:hint="eastAsia" w:ascii="仿宋_GB2312" w:eastAsia="仿宋_GB2312"/>
          <w:color w:val="auto"/>
          <w:sz w:val="32"/>
          <w:szCs w:val="32"/>
          <w:highlight w:val="none"/>
        </w:rPr>
        <w:t>。</w:t>
      </w:r>
    </w:p>
    <w:p>
      <w:pPr>
        <w:spacing w:line="600" w:lineRule="exact"/>
        <w:ind w:firstLine="643" w:firstLineChars="200"/>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外事接待0批次，0人次（不包含陪同人员），共计支出0万元。</w:t>
      </w:r>
    </w:p>
    <w:p>
      <w:pPr>
        <w:spacing w:line="600" w:lineRule="exact"/>
        <w:ind w:firstLine="640" w:firstLineChars="200"/>
        <w:outlineLvl w:val="1"/>
        <w:rPr>
          <w:rStyle w:val="15"/>
          <w:rFonts w:ascii="黑体" w:hAnsi="黑体" w:eastAsia="黑体"/>
          <w:color w:val="auto"/>
          <w:highlight w:val="none"/>
        </w:rPr>
      </w:pPr>
      <w:bookmarkStart w:id="33" w:name="_Toc17155"/>
      <w:bookmarkStart w:id="34" w:name="_Toc26681"/>
      <w:r>
        <w:rPr>
          <w:rFonts w:hint="eastAsia" w:ascii="黑体" w:eastAsia="黑体"/>
          <w:color w:val="auto"/>
          <w:sz w:val="32"/>
          <w:szCs w:val="32"/>
          <w:highlight w:val="none"/>
        </w:rPr>
        <w:t>八、</w:t>
      </w:r>
      <w:r>
        <w:rPr>
          <w:rStyle w:val="15"/>
          <w:rFonts w:hint="eastAsia" w:ascii="黑体" w:hAnsi="黑体" w:eastAsia="黑体"/>
          <w:b w:val="0"/>
          <w:color w:val="auto"/>
          <w:highlight w:val="none"/>
        </w:rPr>
        <w:t>政府性基金预算支出决算情况说明</w:t>
      </w:r>
      <w:bookmarkEnd w:id="33"/>
      <w:bookmarkEnd w:id="34"/>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ascii="黑体" w:hAnsi="黑体" w:eastAsia="黑体"/>
          <w:b w:val="0"/>
          <w:color w:val="auto"/>
          <w:highlight w:val="none"/>
        </w:rPr>
      </w:pPr>
      <w:bookmarkStart w:id="35" w:name="_Toc12666"/>
      <w:bookmarkStart w:id="36" w:name="_Toc12827"/>
      <w:r>
        <w:rPr>
          <w:rStyle w:val="15"/>
          <w:rFonts w:hint="eastAsia" w:ascii="黑体" w:hAnsi="黑体" w:eastAsia="黑体"/>
          <w:b w:val="0"/>
          <w:color w:val="auto"/>
          <w:highlight w:val="none"/>
          <w:lang w:eastAsia="zh-CN"/>
        </w:rPr>
        <w:t>九、</w:t>
      </w:r>
      <w:r>
        <w:rPr>
          <w:rStyle w:val="15"/>
          <w:rFonts w:hint="eastAsia" w:ascii="黑体" w:hAnsi="黑体" w:eastAsia="黑体"/>
          <w:b w:val="0"/>
          <w:color w:val="auto"/>
          <w:highlight w:val="none"/>
        </w:rPr>
        <w:t>国有资本经营预算支出决算情况说明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hint="eastAsia" w:ascii="黑体" w:hAnsi="黑体" w:eastAsia="黑体"/>
          <w:b w:val="0"/>
          <w:color w:val="auto"/>
          <w:highlight w:val="none"/>
        </w:rPr>
      </w:pPr>
      <w:bookmarkStart w:id="37" w:name="_Toc28887"/>
      <w:bookmarkStart w:id="38" w:name="_Toc1273"/>
      <w:r>
        <w:rPr>
          <w:rStyle w:val="15"/>
          <w:rFonts w:hint="eastAsia" w:ascii="黑体" w:hAnsi="黑体" w:eastAsia="黑体"/>
          <w:b w:val="0"/>
          <w:color w:val="auto"/>
          <w:highlight w:val="none"/>
          <w:lang w:eastAsia="zh-CN"/>
        </w:rPr>
        <w:t>十、</w:t>
      </w:r>
      <w:r>
        <w:rPr>
          <w:rStyle w:val="15"/>
          <w:rFonts w:hint="eastAsia" w:ascii="黑体" w:hAnsi="黑体" w:eastAsia="黑体"/>
          <w:b w:val="0"/>
          <w:color w:val="auto"/>
          <w:highlight w:val="none"/>
        </w:rPr>
        <w:t>其他重要事项的情况说明</w:t>
      </w:r>
      <w:bookmarkEnd w:id="37"/>
      <w:bookmarkEnd w:id="38"/>
    </w:p>
    <w:p>
      <w:pPr>
        <w:spacing w:line="600" w:lineRule="exact"/>
        <w:ind w:firstLine="643" w:firstLineChars="200"/>
        <w:outlineLvl w:val="2"/>
        <w:rPr>
          <w:rFonts w:ascii="仿宋" w:hAnsi="仿宋" w:eastAsia="仿宋"/>
          <w:color w:val="auto"/>
          <w:sz w:val="32"/>
          <w:szCs w:val="32"/>
          <w:highlight w:val="none"/>
        </w:rPr>
      </w:pPr>
      <w:bookmarkStart w:id="39" w:name="_Toc8030"/>
      <w:r>
        <w:rPr>
          <w:rFonts w:hint="eastAsia" w:ascii="仿宋" w:hAnsi="仿宋" w:eastAsia="仿宋"/>
          <w:b/>
          <w:color w:val="auto"/>
          <w:sz w:val="32"/>
          <w:szCs w:val="32"/>
          <w:highlight w:val="none"/>
        </w:rPr>
        <w:t>（一）机关运行经费支出情况</w:t>
      </w:r>
      <w:bookmarkEnd w:id="39"/>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四川省成都军供站</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决算数持平</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0" w:name="_Toc31973"/>
      <w:r>
        <w:rPr>
          <w:rFonts w:hint="eastAsia" w:ascii="仿宋" w:hAnsi="仿宋" w:eastAsia="仿宋"/>
          <w:b/>
          <w:color w:val="auto"/>
          <w:sz w:val="32"/>
          <w:szCs w:val="32"/>
          <w:highlight w:val="none"/>
        </w:rPr>
        <w:t>（二）政府采购支出情况</w:t>
      </w:r>
      <w:bookmarkEnd w:id="40"/>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四川省成都军供站</w:t>
      </w:r>
      <w:r>
        <w:rPr>
          <w:rFonts w:hint="eastAsia" w:ascii="仿宋_GB2312" w:eastAsia="仿宋_GB2312"/>
          <w:color w:val="auto"/>
          <w:sz w:val="32"/>
          <w:szCs w:val="32"/>
          <w:highlight w:val="none"/>
        </w:rPr>
        <w:t>政府采购支出总额295</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9</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122.14</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173.78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厅机关食堂劳务以及接待大楼1号楼的前期勘测设计费</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285.45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96.46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285.45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96.46</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1" w:name="_Toc27932"/>
      <w:r>
        <w:rPr>
          <w:rFonts w:hint="eastAsia" w:ascii="仿宋" w:hAnsi="仿宋" w:eastAsia="仿宋"/>
          <w:b/>
          <w:color w:val="auto"/>
          <w:sz w:val="32"/>
          <w:szCs w:val="32"/>
          <w:highlight w:val="none"/>
        </w:rPr>
        <w:t>（三）国有资产占有使用情况</w:t>
      </w:r>
      <w:bookmarkEnd w:id="41"/>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四川省成都军供站</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val="en-US" w:eastAsia="zh-CN"/>
        </w:rPr>
        <w:t>主要领导干部用车0辆、机要通信用车0辆、</w:t>
      </w:r>
      <w:r>
        <w:rPr>
          <w:rFonts w:hint="eastAsia" w:ascii="仿宋_GB2312" w:eastAsia="仿宋_GB2312"/>
          <w:color w:val="auto"/>
          <w:sz w:val="32"/>
          <w:szCs w:val="32"/>
          <w:highlight w:val="none"/>
        </w:rPr>
        <w:t>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辆、特种专业技术用车</w:t>
      </w:r>
      <w:r>
        <w:rPr>
          <w:rFonts w:hint="eastAsia" w:ascii="仿宋_GB2312" w:eastAsia="仿宋_GB2312"/>
          <w:color w:val="auto"/>
          <w:sz w:val="32"/>
          <w:szCs w:val="32"/>
          <w:highlight w:val="none"/>
          <w:lang w:val="en-US" w:eastAsia="zh-CN"/>
        </w:rPr>
        <w:t>2辆、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开展过往部队保障工作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723" w:firstLineChars="200"/>
        <w:jc w:val="left"/>
        <w:outlineLvl w:val="2"/>
        <w:rPr>
          <w:rFonts w:hint="eastAsia" w:ascii="仿宋" w:hAnsi="仿宋" w:eastAsia="仿宋"/>
          <w:b/>
          <w:color w:val="auto"/>
          <w:sz w:val="36"/>
          <w:szCs w:val="36"/>
          <w:highlight w:val="none"/>
          <w:lang w:eastAsia="zh-CN"/>
        </w:rPr>
      </w:pPr>
      <w:bookmarkStart w:id="42" w:name="_Toc5446"/>
      <w:r>
        <w:rPr>
          <w:rFonts w:hint="eastAsia" w:ascii="仿宋" w:hAnsi="仿宋" w:eastAsia="仿宋"/>
          <w:b/>
          <w:color w:val="auto"/>
          <w:sz w:val="36"/>
          <w:szCs w:val="36"/>
          <w:highlight w:val="none"/>
        </w:rPr>
        <w:t>（四）预算绩效管理情况</w:t>
      </w:r>
      <w:bookmarkEnd w:id="42"/>
    </w:p>
    <w:p>
      <w:pPr>
        <w:spacing w:line="600" w:lineRule="exact"/>
        <w:ind w:firstLine="720" w:firstLineChars="200"/>
        <w:rPr>
          <w:rFonts w:hint="eastAsia" w:ascii="仿宋_GB2312" w:hAnsi="Times New Roman" w:eastAsia="仿宋_GB2312" w:cs="Times New Roman"/>
          <w:color w:val="auto"/>
          <w:sz w:val="36"/>
          <w:szCs w:val="36"/>
          <w:highlight w:val="none"/>
          <w:lang w:val="en-US" w:eastAsia="zh-CN"/>
        </w:rPr>
      </w:pPr>
      <w:r>
        <w:rPr>
          <w:rFonts w:hint="eastAsia" w:ascii="仿宋_GB2312" w:hAnsi="Times New Roman" w:eastAsia="仿宋_GB2312" w:cs="Times New Roman"/>
          <w:color w:val="auto"/>
          <w:sz w:val="36"/>
          <w:szCs w:val="36"/>
          <w:highlight w:val="none"/>
          <w:lang w:eastAsia="zh-CN"/>
        </w:rPr>
        <w:t>根据预算绩效管理要求，本单位在</w:t>
      </w:r>
      <w:r>
        <w:rPr>
          <w:rFonts w:hint="eastAsia" w:ascii="仿宋_GB2312" w:hAnsi="Times New Roman" w:eastAsia="仿宋_GB2312" w:cs="Times New Roman"/>
          <w:color w:val="auto"/>
          <w:sz w:val="36"/>
          <w:szCs w:val="36"/>
          <w:highlight w:val="none"/>
          <w:lang w:val="en-US" w:eastAsia="zh-CN"/>
        </w:rPr>
        <w:t>2023年度</w:t>
      </w:r>
      <w:r>
        <w:rPr>
          <w:rFonts w:hint="eastAsia" w:ascii="仿宋_GB2312" w:hAnsi="Times New Roman" w:eastAsia="仿宋_GB2312" w:cs="Times New Roman"/>
          <w:color w:val="auto"/>
          <w:sz w:val="36"/>
          <w:szCs w:val="36"/>
          <w:highlight w:val="none"/>
          <w:lang w:eastAsia="zh-CN"/>
        </w:rPr>
        <w:t>预算编制阶段，组织对</w:t>
      </w:r>
      <w:r>
        <w:rPr>
          <w:rFonts w:hint="eastAsia" w:ascii="仿宋_GB2312" w:eastAsia="仿宋_GB2312" w:cs="Times New Roman"/>
          <w:color w:val="auto"/>
          <w:sz w:val="36"/>
          <w:szCs w:val="36"/>
          <w:highlight w:val="none"/>
          <w:lang w:val="en-US" w:eastAsia="zh-CN"/>
        </w:rPr>
        <w:t>0</w:t>
      </w:r>
      <w:r>
        <w:rPr>
          <w:rFonts w:hint="eastAsia" w:ascii="仿宋_GB2312" w:hAnsi="Times New Roman" w:eastAsia="仿宋_GB2312" w:cs="Times New Roman"/>
          <w:color w:val="auto"/>
          <w:sz w:val="36"/>
          <w:szCs w:val="36"/>
          <w:highlight w:val="none"/>
          <w:lang w:eastAsia="zh-CN"/>
        </w:rPr>
        <w:t>项目（项目名称）等</w:t>
      </w:r>
      <w:r>
        <w:rPr>
          <w:rFonts w:hint="eastAsia" w:ascii="仿宋_GB2312" w:eastAsia="仿宋_GB2312" w:cs="Times New Roman"/>
          <w:color w:val="auto"/>
          <w:sz w:val="36"/>
          <w:szCs w:val="36"/>
          <w:highlight w:val="none"/>
          <w:lang w:val="en-US" w:eastAsia="zh-CN"/>
        </w:rPr>
        <w:t>0</w:t>
      </w:r>
      <w:r>
        <w:rPr>
          <w:rFonts w:hint="eastAsia" w:ascii="仿宋_GB2312" w:hAnsi="Times New Roman" w:eastAsia="仿宋_GB2312" w:cs="Times New Roman"/>
          <w:color w:val="auto"/>
          <w:sz w:val="36"/>
          <w:szCs w:val="36"/>
          <w:highlight w:val="none"/>
          <w:lang w:val="en-US" w:eastAsia="zh-CN"/>
        </w:rPr>
        <w:t>个项目</w:t>
      </w:r>
      <w:r>
        <w:rPr>
          <w:rFonts w:hint="eastAsia" w:ascii="仿宋_GB2312" w:hAnsi="Times New Roman" w:eastAsia="仿宋_GB2312" w:cs="Times New Roman"/>
          <w:color w:val="auto"/>
          <w:sz w:val="36"/>
          <w:szCs w:val="36"/>
          <w:highlight w:val="none"/>
          <w:lang w:eastAsia="zh-CN"/>
        </w:rPr>
        <w:t>开展了预算事前绩效评估，对</w:t>
      </w:r>
      <w:r>
        <w:rPr>
          <w:rFonts w:hint="eastAsia" w:ascii="仿宋_GB2312" w:eastAsia="仿宋_GB2312" w:cs="Times New Roman"/>
          <w:color w:val="auto"/>
          <w:sz w:val="36"/>
          <w:szCs w:val="36"/>
          <w:highlight w:val="none"/>
          <w:lang w:val="en-US" w:eastAsia="zh-CN"/>
        </w:rPr>
        <w:t>11</w:t>
      </w:r>
      <w:r>
        <w:rPr>
          <w:rFonts w:hint="eastAsia" w:ascii="仿宋_GB2312" w:hAnsi="Times New Roman" w:eastAsia="仿宋_GB2312" w:cs="Times New Roman"/>
          <w:color w:val="auto"/>
          <w:sz w:val="36"/>
          <w:szCs w:val="36"/>
          <w:highlight w:val="none"/>
          <w:lang w:eastAsia="zh-CN"/>
        </w:rPr>
        <w:t>个项目编制了绩效目标，预算执行过程中，选取</w:t>
      </w:r>
      <w:r>
        <w:rPr>
          <w:rFonts w:hint="eastAsia" w:ascii="仿宋_GB2312" w:eastAsia="仿宋_GB2312" w:cs="Times New Roman"/>
          <w:color w:val="auto"/>
          <w:sz w:val="36"/>
          <w:szCs w:val="36"/>
          <w:highlight w:val="none"/>
          <w:lang w:val="en-US" w:eastAsia="zh-CN"/>
        </w:rPr>
        <w:t>11</w:t>
      </w:r>
      <w:r>
        <w:rPr>
          <w:rFonts w:hint="eastAsia" w:ascii="仿宋_GB2312" w:hAnsi="Times New Roman" w:eastAsia="仿宋_GB2312" w:cs="Times New Roman"/>
          <w:color w:val="auto"/>
          <w:sz w:val="36"/>
          <w:szCs w:val="36"/>
          <w:highlight w:val="none"/>
          <w:lang w:eastAsia="zh-CN"/>
        </w:rPr>
        <w:t>个项目开展绩效监控，组织对</w:t>
      </w:r>
      <w:r>
        <w:rPr>
          <w:rFonts w:hint="eastAsia" w:ascii="仿宋_GB2312" w:eastAsia="仿宋_GB2312" w:cs="Times New Roman"/>
          <w:color w:val="auto"/>
          <w:sz w:val="36"/>
          <w:szCs w:val="36"/>
          <w:highlight w:val="none"/>
          <w:lang w:val="en-US" w:eastAsia="zh-CN"/>
        </w:rPr>
        <w:t>2</w:t>
      </w:r>
      <w:r>
        <w:rPr>
          <w:rFonts w:hint="eastAsia" w:ascii="仿宋_GB2312" w:hAnsi="Times New Roman" w:eastAsia="仿宋_GB2312" w:cs="Times New Roman"/>
          <w:color w:val="auto"/>
          <w:sz w:val="36"/>
          <w:szCs w:val="36"/>
          <w:highlight w:val="none"/>
          <w:lang w:val="en-US" w:eastAsia="zh-CN"/>
        </w:rPr>
        <w:t>个项目开展绩效自评，绩效自评表详见第四部分附件。</w:t>
      </w:r>
    </w:p>
    <w:p>
      <w:pPr>
        <w:spacing w:line="240" w:lineRule="auto"/>
        <w:ind w:firstLine="0" w:firstLineChars="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br w:type="page"/>
      </w:r>
    </w:p>
    <w:p>
      <w:pPr>
        <w:numPr>
          <w:ilvl w:val="0"/>
          <w:numId w:val="0"/>
        </w:numPr>
        <w:spacing w:line="600" w:lineRule="exact"/>
        <w:jc w:val="center"/>
        <w:outlineLvl w:val="0"/>
        <w:rPr>
          <w:rStyle w:val="14"/>
          <w:rFonts w:ascii="黑体" w:hAnsi="黑体" w:eastAsia="黑体"/>
          <w:b w:val="0"/>
          <w:color w:val="auto"/>
          <w:highlight w:val="none"/>
        </w:rPr>
      </w:pPr>
      <w:bookmarkStart w:id="43" w:name="_Toc30930"/>
      <w:bookmarkStart w:id="44" w:name="_Toc14538"/>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4"/>
          <w:rFonts w:hint="eastAsia" w:ascii="黑体" w:hAnsi="黑体" w:eastAsia="黑体"/>
          <w:b w:val="0"/>
          <w:color w:val="auto"/>
          <w:highlight w:val="none"/>
        </w:rPr>
        <w:t>词解释</w:t>
      </w:r>
      <w:bookmarkEnd w:id="43"/>
      <w:bookmarkEnd w:id="44"/>
    </w:p>
    <w:p>
      <w:pPr>
        <w:spacing w:line="600" w:lineRule="exact"/>
        <w:jc w:val="left"/>
        <w:rPr>
          <w:rFonts w:ascii="宋体"/>
          <w:b/>
          <w:color w:val="auto"/>
          <w:sz w:val="44"/>
          <w:szCs w:val="44"/>
          <w:highlight w:val="none"/>
        </w:rPr>
      </w:pPr>
    </w:p>
    <w:p>
      <w:pPr>
        <w:pStyle w:val="17"/>
        <w:spacing w:line="560" w:lineRule="exact"/>
        <w:ind w:firstLine="640" w:firstLineChars="200"/>
        <w:outlineLvl w:val="1"/>
        <w:rPr>
          <w:rFonts w:ascii="仿宋_GB2312" w:eastAsia="仿宋_GB2312"/>
          <w:color w:val="auto"/>
          <w:sz w:val="32"/>
          <w:szCs w:val="32"/>
          <w:highlight w:val="none"/>
        </w:rPr>
      </w:pPr>
      <w:bookmarkStart w:id="45" w:name="_Toc2137"/>
      <w:bookmarkStart w:id="46" w:name="_Toc995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45"/>
      <w:bookmarkEnd w:id="46"/>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w:t>
      </w:r>
      <w:r>
        <w:rPr>
          <w:rFonts w:hint="eastAsia" w:ascii="仿宋_GB2312" w:eastAsia="仿宋_GB2312"/>
          <w:color w:val="auto"/>
          <w:sz w:val="32"/>
          <w:szCs w:val="32"/>
          <w:highlight w:val="none"/>
          <w:lang w:val="en-US" w:eastAsia="zh-CN"/>
        </w:rPr>
        <w:t>住宿费和伙食费</w:t>
      </w:r>
      <w:r>
        <w:rPr>
          <w:rFonts w:hint="eastAsia" w:ascii="仿宋_GB2312" w:eastAsia="仿宋_GB2312"/>
          <w:color w:val="auto"/>
          <w:sz w:val="32"/>
          <w:szCs w:val="32"/>
          <w:highlight w:val="none"/>
        </w:rPr>
        <w:t>等。</w:t>
      </w:r>
    </w:p>
    <w:p>
      <w:pPr>
        <w:pStyle w:val="1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val="en-US" w:eastAsia="zh-CN"/>
        </w:rPr>
        <w:t>非同级财政拨款的离休干部医疗费</w:t>
      </w:r>
      <w:r>
        <w:rPr>
          <w:rFonts w:hint="eastAsia" w:ascii="仿宋_GB2312" w:eastAsia="仿宋_GB2312"/>
          <w:color w:val="auto"/>
          <w:sz w:val="32"/>
          <w:szCs w:val="32"/>
          <w:highlight w:val="none"/>
        </w:rPr>
        <w:t>等。</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4.教育支出（类）进修及培训（款）培训支出（项）：指各部门安排的用于培训的支出。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5.社会保障和就业支出（类）行政事业单位离退休（款）</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事业单位离退休（项）：指事业单位开支的离退休经费。</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6.社会保障和就业支出（类）行政事业单位离退休（款）</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机关事业单位基本养老保险缴费支出（项）：指机关事业单位实施养老制度由单位缴纳的基本养老保险支出。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7.社会保障和就业支出（类）行政事业单位离退休（款）</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机关事业单位职业年金缴费支出（项）：指机关事业单位实施养老保险制度由单位实际缴纳的职业年金支出。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8.社会保障和就业支出（类）抚恤（款）死亡抚恤（项）：指按规定用于烈士和牺牲、病故人员家属的一次性和定期抚恤金、丧葬补助费以及烈士褒扬金。</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9.社会保障和就业支出（类）退役军人管理事务（款）军供保障（项）：指各级退役军人事务部门所属军供站（兵站）管理维护、保障军队运输和食宿供应等方面的支出。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10.社会保障和就业支出（类）退役军人管理事务（款）事业运行（项）：指事业单位的基本支出，不包括行政单位（包括实行公务员管理的事业单位）后勤服务中心、医疗室等附属事业单位。</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11.社会保障和就业支出（类）退役军人管理事务（款）其他退役军人事务管理（项）：指其他用于退役军人事务管理的支出。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12.社会保障和就业支出（类）其他社会保障和就业支出（款）其他社会保障和就业支出（项）：指其他用于社会保障和就业方面的支出。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13.卫生健康支出（类）行政事业单位医疗（款）事业单位医疗（项）：指财政部门安排的事业单位基本医疗保险缴费经费，未参加医疗保险的事业单位的公费医疗经费，按国家规定享受离休人员待遇的医疗经费。</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14.住房保障支出（类）住房改革支出（款）住房公积金（项）：指行政事业单位按人力资源和社会保障部、财政部规定的基本工资和津贴补贴以及规定比列为职工缴纳的住房公积金。</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15.住房保障支出（类）住房改革支出（款）购房补贴（项）：指按房改政策规定，行政事业单位向符合条件职工（含离退休人员）、军队（含武警）向转役复原离退休人员发放的用于购买住房的补贴。</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16.基本支出：指保障机构正常运转、完成日常工作任务而发生的人员支出和公用支出。</w:t>
      </w:r>
    </w:p>
    <w:p>
      <w:pPr>
        <w:pStyle w:val="17"/>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17.项目支出：指在基本支出之外为完成特定行政任务和事业发展目标所发生的支出。</w:t>
      </w:r>
    </w:p>
    <w:p>
      <w:pPr>
        <w:pStyle w:val="17"/>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18.“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pStyle w:val="17"/>
        <w:spacing w:line="560" w:lineRule="exact"/>
        <w:ind w:firstLine="640" w:firstLineChars="200"/>
        <w:rPr>
          <w:rFonts w:hint="default" w:ascii="仿宋_GB2312" w:eastAsia="仿宋_GB2312"/>
          <w:color w:val="auto"/>
          <w:sz w:val="32"/>
          <w:szCs w:val="32"/>
          <w:highlight w:val="none"/>
          <w:lang w:val="en-US" w:eastAsia="zh-CN"/>
        </w:rPr>
      </w:pPr>
    </w:p>
    <w:p>
      <w:pPr>
        <w:pStyle w:val="17"/>
        <w:spacing w:line="560" w:lineRule="exact"/>
        <w:ind w:firstLine="640" w:firstLineChars="200"/>
        <w:rPr>
          <w:rFonts w:hint="default" w:ascii="仿宋_GB2312" w:eastAsia="仿宋_GB2312"/>
          <w:color w:val="auto"/>
          <w:sz w:val="32"/>
          <w:szCs w:val="32"/>
          <w:highlight w:val="none"/>
          <w:lang w:val="en-US" w:eastAsia="zh-CN"/>
        </w:rPr>
      </w:pPr>
    </w:p>
    <w:p>
      <w:pPr>
        <w:spacing w:line="600" w:lineRule="exact"/>
        <w:jc w:val="both"/>
        <w:outlineLvl w:val="0"/>
        <w:rPr>
          <w:rFonts w:hint="eastAsia" w:ascii="仿宋_GB2312" w:hAnsi="Calibri" w:eastAsia="仿宋_GB2312" w:cs="仿宋"/>
          <w:color w:val="auto"/>
          <w:kern w:val="0"/>
          <w:sz w:val="32"/>
          <w:szCs w:val="32"/>
          <w:highlight w:val="none"/>
          <w:lang w:val="en-US" w:eastAsia="zh-CN" w:bidi="ar-SA"/>
        </w:rPr>
      </w:pPr>
      <w:r>
        <w:rPr>
          <w:rFonts w:ascii="宋体"/>
          <w:b/>
          <w:color w:val="auto"/>
          <w:sz w:val="44"/>
          <w:szCs w:val="44"/>
          <w:highlight w:val="none"/>
        </w:rPr>
        <w:br w:type="page"/>
      </w:r>
      <w:bookmarkStart w:id="47" w:name="_Toc3222"/>
      <w:bookmarkStart w:id="48" w:name="_Toc13901"/>
      <w:r>
        <w:rPr>
          <w:rFonts w:hint="eastAsia" w:ascii="宋体"/>
          <w:b/>
          <w:color w:val="auto"/>
          <w:sz w:val="44"/>
          <w:szCs w:val="44"/>
          <w:highlight w:val="none"/>
          <w:lang w:val="en-US" w:eastAsia="zh-CN"/>
        </w:rPr>
        <w:t xml:space="preserve">            </w:t>
      </w:r>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四部分 附件</w:t>
      </w:r>
      <w:bookmarkEnd w:id="47"/>
      <w:bookmarkEnd w:id="48"/>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127"/>
        <w:gridCol w:w="979"/>
        <w:gridCol w:w="1396"/>
        <w:gridCol w:w="396"/>
        <w:gridCol w:w="919"/>
        <w:gridCol w:w="396"/>
        <w:gridCol w:w="756"/>
        <w:gridCol w:w="396"/>
        <w:gridCol w:w="666"/>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50"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51000023T000008350519-优抚安置事业单位维修改造和设备购置（311906）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4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36"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366" w:type="pct"/>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四川省成都军供站（四川省军供保障中心）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36"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14"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2336"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单位投入476万元，做好军供保障接待大楼1号楼维修改造的前期工作，购买特种专业技术车辆和设备，提升军供工作服务部队跨区机动和实战化训练、执行多样化军事任务应急保障能力，创新军供应急保障模式，完善军供应急保障设施。</w:t>
            </w:r>
          </w:p>
        </w:tc>
        <w:tc>
          <w:tcPr>
            <w:tcW w:w="1614"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严格按进度实施，通过政府集中采购完成了军供保障接待大楼1号楼维修改造的前期工作，通过政采购买了特种专业技术用车1辆和单位自行采购购置了食品快速检测设备1套。由于是特种专业技术用车，交车后需在专业网站上挂网2个月后才能上牌，依据合同约定需在交车上牌后支付尾款，因此尾款需在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50"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实施进度，通过政府集采完成了军供保障接待大楼1号楼维修改造的前期工作，并在当年完成；通过政采购买了特种专业技术用车1辆；单位自行采购购置了食品快速检测设备1套。由于是特种专业技术用车需交车后在专业网站上挂网2个月后才能上牌，依据合同约定需在交车上牌后支付尾款，因此尾款需在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326.00</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321.89</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202.55</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62.93%</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6.29</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由于是特种专业技术用车，交车后需在专业网站上挂网2个月后才能上牌，依据合同约定需在交车上牌后支付尾款，因此尾款资金需结转下年支付。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326.00</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321.89</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202.55</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62.93%</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食品安全快速检测设备</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特种专业技术车</w:t>
            </w:r>
          </w:p>
        </w:tc>
        <w:tc>
          <w:tcPr>
            <w:tcW w:w="176"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0.5</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由于是特种专业技术用车，交车后需在专业网站上挂网2个月后才能上牌，依据合同约定需在交车上牌后支付尾款，因此尾款资金需结转下年支付。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25" w:type="pct"/>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货物质量合格率</w:t>
            </w:r>
          </w:p>
        </w:tc>
        <w:tc>
          <w:tcPr>
            <w:tcW w:w="176"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2"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25" w:type="pct"/>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2"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8.57</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25" w:type="pct"/>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对退役军人事务工作的促进作用</w:t>
            </w:r>
          </w:p>
        </w:tc>
        <w:tc>
          <w:tcPr>
            <w:tcW w:w="176" w:type="pc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62"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366"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适应深化国防和军队改革需要，加快战略投送能力。</w:t>
            </w:r>
          </w:p>
        </w:tc>
        <w:tc>
          <w:tcPr>
            <w:tcW w:w="176" w:type="pc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326</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321.89</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1" w:type="pct"/>
            <w:gridSpan w:val="8"/>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89.86</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7"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项目自评总分89.86，依据民政部、中央军委后勤保障部《关于加快推进军供应急保障能力建设的意见》（民发[2016] 68号）文件精神，完善军供应急保障设施，加强应急保障软硬件设施的维修升级，提高保障能力和保障环境。项目严格按进度实施，通过政府集中采购完成了军供保障接待大楼1号楼维修改造的前期工作，通过政采购买了特种专业技术用车1辆和单位自行采购购置了食品快速检测设备1套。由于是特种专业技术用车，交车后需在专业网站上挂网2个月后才能上牌，依据合同约定需在交车上牌后支付尾款，因此尾款需结转下年2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7"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7"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加快项目执行进度，促进以后年度的项目按时完成。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46"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项目负责人：王章</w:t>
            </w:r>
          </w:p>
        </w:tc>
        <w:tc>
          <w:tcPr>
            <w:tcW w:w="2353"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财务负责人：王章</w:t>
            </w:r>
          </w:p>
        </w:tc>
      </w:tr>
    </w:tbl>
    <w:p>
      <w:pPr>
        <w:pStyle w:val="2"/>
        <w:rPr>
          <w:rFonts w:hint="eastAsia" w:ascii="仿宋_GB2312" w:hAnsi="Calibri" w:eastAsia="仿宋_GB2312" w:cs="仿宋"/>
          <w:color w:val="auto"/>
          <w:kern w:val="0"/>
          <w:sz w:val="32"/>
          <w:szCs w:val="32"/>
          <w:highlight w:val="none"/>
          <w:lang w:val="en-US" w:eastAsia="zh-CN" w:bidi="ar-S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153"/>
        <w:gridCol w:w="993"/>
        <w:gridCol w:w="1413"/>
        <w:gridCol w:w="396"/>
        <w:gridCol w:w="935"/>
        <w:gridCol w:w="396"/>
        <w:gridCol w:w="846"/>
        <w:gridCol w:w="396"/>
        <w:gridCol w:w="486"/>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46"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51000023Y000008331633-单位运转项目（其他）311906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45"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367" w:type="pct"/>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四川省成都军供站（四川省军供保障中心）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45"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01"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2345"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单位2023年投入118万元，承担平时和战时过往部队、入伍新兵、返乡老兵、支前民兵（民工）在运输途中的中转食宿保障，适应深化国防和军队改革，加快战略投送能力，进一步提升军供保障工作，实现跨区和多样化保障，达到由“温饱型”向“营养型”的转变。</w:t>
            </w:r>
          </w:p>
        </w:tc>
        <w:tc>
          <w:tcPr>
            <w:tcW w:w="1601"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联合社会力量共同保障了军供任务的完成，提高了保障质量和效率同时也保障了事务厅的食堂运转。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46"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通过政府集中采购确定了共同保障的社会力量，联合社会力量保障了军供任务的完成，提高了保障质量和效率同时也保障了事务厅的食堂运转。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117.46</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117.46</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117.46</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117.46</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服务保量</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29" w:type="pct"/>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提高服务对象餐饮质量</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829" w:type="pct"/>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对退役军人事务工作的促进作用</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117.46</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6" w:type="pct"/>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6"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项目自评总分为100。由于联合了社会力量共同保障军供任务，提高了保障任务的质量和效率，达到了项目要求的从“温饱型”向“营养型”的转变；同时也保障了事务厅的食堂运转。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6"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6"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56"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项目负责人：王章</w:t>
            </w:r>
          </w:p>
        </w:tc>
        <w:tc>
          <w:tcPr>
            <w:tcW w:w="2343"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财务负责人：王章</w:t>
            </w:r>
          </w:p>
        </w:tc>
      </w:tr>
    </w:tbl>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0"/>
        <w:rPr>
          <w:rFonts w:hint="eastAsia" w:ascii="仿宋" w:hAnsi="仿宋" w:eastAsia="仿宋"/>
          <w:b w:val="0"/>
          <w:color w:val="auto"/>
          <w:highlight w:val="none"/>
        </w:rPr>
      </w:pPr>
      <w:bookmarkStart w:id="49" w:name="_Toc24072"/>
      <w:bookmarkStart w:id="50" w:name="_Toc23986"/>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五部分 附表</w:t>
      </w:r>
      <w:bookmarkEnd w:id="49"/>
      <w:bookmarkEnd w:id="50"/>
    </w:p>
    <w:p>
      <w:pPr>
        <w:pStyle w:val="4"/>
        <w:rPr>
          <w:rFonts w:ascii="仿宋" w:hAnsi="仿宋" w:eastAsia="仿宋"/>
          <w:color w:val="auto"/>
          <w:highlight w:val="none"/>
        </w:rPr>
      </w:pPr>
      <w:bookmarkStart w:id="51" w:name="_Toc15489"/>
      <w:bookmarkStart w:id="52" w:name="_Toc27954"/>
      <w:r>
        <w:rPr>
          <w:rFonts w:hint="eastAsia" w:ascii="仿宋" w:hAnsi="仿宋" w:eastAsia="仿宋"/>
          <w:b w:val="0"/>
          <w:color w:val="auto"/>
          <w:highlight w:val="none"/>
        </w:rPr>
        <w:t>一、收</w:t>
      </w:r>
      <w:r>
        <w:rPr>
          <w:rStyle w:val="15"/>
          <w:rFonts w:hint="eastAsia" w:ascii="仿宋" w:hAnsi="仿宋" w:eastAsia="仿宋"/>
          <w:b w:val="0"/>
          <w:bCs w:val="0"/>
          <w:color w:val="auto"/>
          <w:highlight w:val="none"/>
        </w:rPr>
        <w:t>入支出决算总表</w:t>
      </w:r>
      <w:bookmarkEnd w:id="51"/>
      <w:bookmarkEnd w:id="52"/>
    </w:p>
    <w:p>
      <w:pPr>
        <w:pStyle w:val="4"/>
        <w:rPr>
          <w:rFonts w:ascii="仿宋" w:hAnsi="仿宋" w:eastAsia="仿宋"/>
          <w:color w:val="auto"/>
          <w:highlight w:val="none"/>
        </w:rPr>
      </w:pPr>
      <w:bookmarkStart w:id="53" w:name="_Toc23012"/>
      <w:bookmarkStart w:id="54" w:name="_Toc8397"/>
      <w:r>
        <w:rPr>
          <w:rFonts w:hint="eastAsia" w:ascii="仿宋" w:hAnsi="仿宋" w:eastAsia="仿宋"/>
          <w:b w:val="0"/>
          <w:color w:val="auto"/>
          <w:highlight w:val="none"/>
        </w:rPr>
        <w:t>二、收</w:t>
      </w:r>
      <w:r>
        <w:rPr>
          <w:rStyle w:val="15"/>
          <w:rFonts w:hint="eastAsia" w:ascii="仿宋" w:hAnsi="仿宋" w:eastAsia="仿宋"/>
          <w:b w:val="0"/>
          <w:bCs w:val="0"/>
          <w:color w:val="auto"/>
          <w:highlight w:val="none"/>
        </w:rPr>
        <w:t>入决算表</w:t>
      </w:r>
      <w:bookmarkEnd w:id="53"/>
      <w:bookmarkEnd w:id="54"/>
    </w:p>
    <w:p>
      <w:pPr>
        <w:pStyle w:val="4"/>
        <w:rPr>
          <w:rFonts w:ascii="仿宋" w:hAnsi="仿宋" w:eastAsia="仿宋"/>
          <w:color w:val="auto"/>
          <w:highlight w:val="none"/>
        </w:rPr>
      </w:pPr>
      <w:bookmarkStart w:id="55" w:name="_Toc5934"/>
      <w:bookmarkStart w:id="56" w:name="_Toc12979"/>
      <w:r>
        <w:rPr>
          <w:rStyle w:val="1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5"/>
          <w:rFonts w:hint="eastAsia" w:ascii="仿宋" w:hAnsi="仿宋" w:eastAsia="仿宋"/>
          <w:b w:val="0"/>
          <w:bCs w:val="0"/>
          <w:color w:val="auto"/>
          <w:highlight w:val="none"/>
        </w:rPr>
        <w:t>出决算表</w:t>
      </w:r>
      <w:bookmarkEnd w:id="55"/>
      <w:bookmarkEnd w:id="56"/>
    </w:p>
    <w:p>
      <w:pPr>
        <w:pStyle w:val="4"/>
        <w:rPr>
          <w:rFonts w:ascii="仿宋" w:hAnsi="仿宋" w:eastAsia="仿宋"/>
          <w:b w:val="0"/>
          <w:color w:val="auto"/>
          <w:highlight w:val="none"/>
        </w:rPr>
      </w:pPr>
      <w:bookmarkStart w:id="57" w:name="_Toc18127"/>
      <w:bookmarkStart w:id="58" w:name="_Toc5731"/>
      <w:r>
        <w:rPr>
          <w:rStyle w:val="1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政拨款收入支出决算总表</w:t>
      </w:r>
      <w:bookmarkEnd w:id="57"/>
      <w:bookmarkEnd w:id="58"/>
    </w:p>
    <w:p>
      <w:pPr>
        <w:pStyle w:val="4"/>
        <w:rPr>
          <w:rStyle w:val="15"/>
          <w:rFonts w:ascii="仿宋" w:hAnsi="仿宋" w:eastAsia="仿宋"/>
          <w:b w:val="0"/>
          <w:bCs w:val="0"/>
          <w:color w:val="auto"/>
          <w:highlight w:val="none"/>
        </w:rPr>
      </w:pPr>
      <w:bookmarkStart w:id="59" w:name="_Toc23172"/>
      <w:bookmarkStart w:id="60" w:name="_Toc28664"/>
      <w:r>
        <w:rPr>
          <w:rStyle w:val="1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政拨款支出决算明细表</w:t>
      </w:r>
      <w:bookmarkEnd w:id="59"/>
      <w:bookmarkEnd w:id="60"/>
    </w:p>
    <w:p>
      <w:pPr>
        <w:pStyle w:val="4"/>
        <w:rPr>
          <w:rFonts w:ascii="仿宋" w:hAnsi="仿宋" w:eastAsia="仿宋"/>
          <w:color w:val="auto"/>
          <w:highlight w:val="none"/>
        </w:rPr>
      </w:pPr>
      <w:bookmarkStart w:id="61" w:name="_Toc26358"/>
      <w:bookmarkStart w:id="62" w:name="_Toc10319"/>
      <w:r>
        <w:rPr>
          <w:rStyle w:val="1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般公共预算财政拨款支出决算表</w:t>
      </w:r>
      <w:bookmarkEnd w:id="61"/>
      <w:bookmarkEnd w:id="62"/>
    </w:p>
    <w:p>
      <w:pPr>
        <w:pStyle w:val="4"/>
        <w:rPr>
          <w:rFonts w:ascii="仿宋" w:hAnsi="仿宋" w:eastAsia="仿宋"/>
          <w:color w:val="auto"/>
          <w:highlight w:val="none"/>
        </w:rPr>
      </w:pPr>
      <w:bookmarkStart w:id="63" w:name="_Toc989"/>
      <w:bookmarkStart w:id="64" w:name="_Toc4085"/>
      <w:r>
        <w:rPr>
          <w:rStyle w:val="1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般公共预算财政拨款支出决算明细表</w:t>
      </w:r>
      <w:bookmarkEnd w:id="63"/>
      <w:bookmarkEnd w:id="64"/>
    </w:p>
    <w:p>
      <w:pPr>
        <w:pStyle w:val="4"/>
        <w:rPr>
          <w:rFonts w:ascii="仿宋" w:hAnsi="仿宋" w:eastAsia="仿宋"/>
          <w:color w:val="auto"/>
          <w:highlight w:val="none"/>
        </w:rPr>
      </w:pPr>
      <w:bookmarkStart w:id="65" w:name="_Toc18227"/>
      <w:bookmarkStart w:id="66" w:name="_Toc23460"/>
      <w:r>
        <w:rPr>
          <w:rStyle w:val="1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般公共预算财政拨款基本支出决算表</w:t>
      </w:r>
      <w:bookmarkEnd w:id="65"/>
      <w:bookmarkEnd w:id="66"/>
    </w:p>
    <w:p>
      <w:pPr>
        <w:pStyle w:val="4"/>
        <w:rPr>
          <w:rFonts w:ascii="仿宋" w:hAnsi="仿宋" w:eastAsia="仿宋"/>
          <w:color w:val="auto"/>
          <w:highlight w:val="none"/>
        </w:rPr>
      </w:pPr>
      <w:bookmarkStart w:id="67" w:name="_Toc13909"/>
      <w:bookmarkStart w:id="68" w:name="_Toc10567"/>
      <w:r>
        <w:rPr>
          <w:rStyle w:val="1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般公共预算财政拨款项目支出决算表</w:t>
      </w:r>
      <w:bookmarkEnd w:id="67"/>
      <w:bookmarkEnd w:id="68"/>
    </w:p>
    <w:p>
      <w:pPr>
        <w:pStyle w:val="4"/>
        <w:rPr>
          <w:rFonts w:ascii="仿宋" w:hAnsi="仿宋" w:eastAsia="仿宋"/>
          <w:color w:val="auto"/>
          <w:highlight w:val="none"/>
        </w:rPr>
      </w:pPr>
      <w:bookmarkStart w:id="69" w:name="_Toc24616"/>
      <w:bookmarkStart w:id="70" w:name="_Toc19466"/>
      <w:r>
        <w:rPr>
          <w:rStyle w:val="15"/>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15"/>
          <w:rFonts w:hint="eastAsia" w:ascii="仿宋" w:hAnsi="仿宋" w:eastAsia="仿宋"/>
          <w:b w:val="0"/>
          <w:bCs w:val="0"/>
          <w:color w:val="auto"/>
          <w:highlight w:val="none"/>
        </w:rPr>
        <w:t>府性基金预算财政拨款收入支出决算表</w:t>
      </w:r>
      <w:bookmarkEnd w:id="69"/>
      <w:bookmarkEnd w:id="70"/>
    </w:p>
    <w:p>
      <w:pPr>
        <w:pStyle w:val="4"/>
        <w:rPr>
          <w:rFonts w:ascii="仿宋" w:hAnsi="仿宋" w:eastAsia="仿宋"/>
          <w:color w:val="auto"/>
          <w:highlight w:val="none"/>
        </w:rPr>
      </w:pPr>
      <w:bookmarkStart w:id="71" w:name="_Toc16413"/>
      <w:bookmarkStart w:id="72" w:name="_Toc15501"/>
      <w:r>
        <w:rPr>
          <w:rStyle w:val="15"/>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15"/>
          <w:rFonts w:hint="eastAsia" w:ascii="仿宋" w:hAnsi="仿宋" w:eastAsia="仿宋"/>
          <w:b w:val="0"/>
          <w:bCs w:val="0"/>
          <w:color w:val="auto"/>
          <w:highlight w:val="none"/>
        </w:rPr>
        <w:t>有资本经营预算</w:t>
      </w:r>
      <w:r>
        <w:rPr>
          <w:rStyle w:val="15"/>
          <w:rFonts w:hint="eastAsia" w:ascii="仿宋" w:hAnsi="仿宋" w:eastAsia="仿宋"/>
          <w:b w:val="0"/>
          <w:bCs w:val="0"/>
          <w:color w:val="auto"/>
          <w:highlight w:val="none"/>
          <w:lang w:eastAsia="zh-CN"/>
        </w:rPr>
        <w:t>财政拨款收入</w:t>
      </w:r>
      <w:r>
        <w:rPr>
          <w:rStyle w:val="15"/>
          <w:rFonts w:hint="eastAsia" w:ascii="仿宋" w:hAnsi="仿宋" w:eastAsia="仿宋"/>
          <w:b w:val="0"/>
          <w:bCs w:val="0"/>
          <w:color w:val="auto"/>
          <w:highlight w:val="none"/>
        </w:rPr>
        <w:t>支出决算表</w:t>
      </w:r>
      <w:bookmarkEnd w:id="71"/>
      <w:bookmarkEnd w:id="72"/>
    </w:p>
    <w:p>
      <w:pPr>
        <w:pStyle w:val="4"/>
        <w:rPr>
          <w:rFonts w:ascii="仿宋" w:hAnsi="仿宋" w:eastAsia="仿宋"/>
          <w:color w:val="auto"/>
          <w:highlight w:val="none"/>
        </w:rPr>
      </w:pPr>
      <w:bookmarkStart w:id="73" w:name="_Toc9896"/>
      <w:bookmarkStart w:id="74" w:name="_Toc1358"/>
      <w:r>
        <w:rPr>
          <w:rStyle w:val="15"/>
          <w:rFonts w:hint="eastAsia" w:ascii="仿宋" w:hAnsi="仿宋" w:eastAsia="仿宋"/>
          <w:b w:val="0"/>
          <w:bCs w:val="0"/>
          <w:color w:val="auto"/>
          <w:highlight w:val="none"/>
        </w:rPr>
        <w:t>十二、</w:t>
      </w:r>
      <w:r>
        <w:rPr>
          <w:rStyle w:val="15"/>
          <w:rFonts w:hint="eastAsia" w:ascii="仿宋" w:hAnsi="仿宋" w:eastAsia="仿宋"/>
          <w:b w:val="0"/>
          <w:bCs w:val="0"/>
          <w:color w:val="auto"/>
          <w:highlight w:val="none"/>
          <w:lang w:eastAsia="zh-CN"/>
        </w:rPr>
        <w:t>国有资本经营预算财政拨款支出决算表</w:t>
      </w:r>
      <w:bookmarkEnd w:id="73"/>
      <w:bookmarkEnd w:id="74"/>
    </w:p>
    <w:p>
      <w:pPr>
        <w:pStyle w:val="4"/>
        <w:rPr>
          <w:rFonts w:hint="eastAsia" w:eastAsia="仿宋"/>
          <w:color w:val="auto"/>
          <w:highlight w:val="none"/>
          <w:lang w:eastAsia="zh-CN"/>
        </w:rPr>
      </w:pPr>
      <w:bookmarkStart w:id="75" w:name="_Toc25400"/>
      <w:bookmarkStart w:id="76" w:name="_Toc3741"/>
      <w:r>
        <w:rPr>
          <w:rStyle w:val="15"/>
          <w:rFonts w:hint="eastAsia" w:ascii="仿宋" w:hAnsi="仿宋" w:eastAsia="仿宋"/>
          <w:b w:val="0"/>
          <w:bCs w:val="0"/>
          <w:color w:val="auto"/>
          <w:highlight w:val="none"/>
        </w:rPr>
        <w:t>十三、</w:t>
      </w:r>
      <w:r>
        <w:rPr>
          <w:rStyle w:val="15"/>
          <w:rFonts w:hint="eastAsia" w:ascii="仿宋" w:hAnsi="仿宋" w:eastAsia="仿宋"/>
          <w:b w:val="0"/>
          <w:bCs w:val="0"/>
          <w:color w:val="auto"/>
          <w:highlight w:val="none"/>
          <w:lang w:eastAsia="zh-CN"/>
        </w:rPr>
        <w:t>财政拨款“三公”经费支出决算表</w:t>
      </w:r>
      <w:bookmarkEnd w:id="75"/>
      <w:bookmarkEnd w:id="76"/>
    </w:p>
    <w:p>
      <w:pPr>
        <w:rPr>
          <w:rFonts w:hint="eastAsia"/>
          <w:lang w:eastAsia="zh-CN"/>
        </w:rPr>
      </w:pPr>
      <w:bookmarkStart w:id="77" w:name="_GoBack"/>
      <w:bookmarkEnd w:id="77"/>
    </w:p>
    <w:sectPr>
      <w:footerReference r:id="rId5" w:type="first"/>
      <w:footerReference r:id="rId4"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-16510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pt;height:144pt;width:144pt;mso-position-horizontal:center;mso-position-horizontal-relative:margin;mso-wrap-style:none;z-index:251660288;mso-width-relative:page;mso-height-relative:page;" filled="f" stroked="f" coordsize="21600,21600" o:gfxdata="UEsDBAoAAAAAAIdO4kAAAAAAAAAAAAAAAAAEAAAAZHJzL1BLAwQUAAAACACHTuJAk0DSR9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GxDsplnGi+NteF6D&#10;LAv5n7/8BVBLAwQUAAAACACHTuJA/z8DRzgCAABv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DtbV+6p7gCm0LGz01vKYJkrl7fIQIG1SPArUqYJOxQPmMPXssjNx0P88p6in/4nF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NA0kfVAAAABwEAAA8AAAAAAAAAAQAgAAAAIgAAAGRycy9kb3ducmV2&#10;LnhtbFBLAQIUABQAAAAIAIdO4kD/PwNHOAIAAG8EAAAOAAAAAAAAAAEAIAAAACQBAABkcnMvZTJv&#10;RG9jLnhtbFBLBQYAAAAABgAGAFkBAADOBQAAAAA=&#10;">
              <v:path/>
              <v:fill on="f" focussize="0,0"/>
              <v:stroke on="f" weight="0.5pt"/>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jJkM2ZmY2FiNTYzNDA1MDBhNTk5YTQxMDk1MmMifQ=="/>
  </w:docVars>
  <w:rsids>
    <w:rsidRoot w:val="00000000"/>
    <w:rsid w:val="1238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unhideWhenUsed/>
    <w:qFormat/>
    <w:uiPriority w:val="99"/>
    <w:pPr>
      <w:ind w:firstLine="42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footnote text"/>
    <w:basedOn w:val="1"/>
    <w:next w:val="6"/>
    <w:semiHidden/>
    <w:qFormat/>
    <w:uiPriority w:val="0"/>
    <w:pPr>
      <w:snapToGrid w:val="0"/>
      <w:jc w:val="left"/>
    </w:pPr>
    <w:rPr>
      <w:sz w:val="18"/>
      <w:szCs w:val="18"/>
    </w:rPr>
  </w:style>
  <w:style w:type="paragraph" w:styleId="10">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customStyle="1" w:styleId="14">
    <w:name w:val="标题 1 Char"/>
    <w:basedOn w:val="12"/>
    <w:link w:val="3"/>
    <w:autoRedefine/>
    <w:qFormat/>
    <w:uiPriority w:val="9"/>
    <w:rPr>
      <w:b/>
      <w:bCs/>
      <w:kern w:val="44"/>
      <w:sz w:val="44"/>
      <w:szCs w:val="44"/>
    </w:rPr>
  </w:style>
  <w:style w:type="character" w:customStyle="1" w:styleId="15">
    <w:name w:val="标题 2 Char"/>
    <w:basedOn w:val="12"/>
    <w:link w:val="4"/>
    <w:qFormat/>
    <w:uiPriority w:val="9"/>
    <w:rPr>
      <w:rFonts w:ascii="Calibri Light" w:hAnsi="Calibri Light" w:eastAsia="宋体" w:cs="Times New Roman"/>
      <w:b/>
      <w:bCs/>
      <w:sz w:val="32"/>
      <w:szCs w:val="32"/>
    </w:rPr>
  </w:style>
  <w:style w:type="paragraph" w:styleId="16">
    <w:name w:val="List Paragraph"/>
    <w:basedOn w:val="1"/>
    <w:autoRedefine/>
    <w:qFormat/>
    <w:uiPriority w:val="34"/>
    <w:pPr>
      <w:ind w:firstLine="420" w:firstLineChars="200"/>
    </w:pPr>
  </w:style>
  <w:style w:type="paragraph" w:customStyle="1" w:styleId="17">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023&#24180;&#24230;&#22235;&#24029;&#30465;&#21333;&#20301;&#20915;&#31639;&#20844;&#24320;(1).doc.77B22699CA498CD94A6219AB7B278CBD.20240809113642862.wp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22270;&#34920;%20&#22312;%202023&#24180;&#24230;&#22235;&#24029;&#30465;&#21333;&#20301;&#20915;&#31639;&#20844;&#24320;(1).doc.77B22699CA498CD94A6219AB7B278CBD.20240809113642862.wp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2270;&#34920;%20&#22312;%202023&#24180;&#24230;&#22235;&#24029;&#30465;&#21333;&#20301;&#20915;&#31639;&#20844;&#24320;(1).doc"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023&#24180;&#24230;&#22235;&#24029;&#30465;&#21333;&#20301;&#20915;&#31639;&#20844;&#24320;(1).doc.77B22699CA498CD94A6219AB7B278CBD.20240809113642862.wp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2023&#24180;&#24230;&#22235;&#24029;&#30465;&#21333;&#20301;&#20915;&#31639;&#20844;&#24320;(1).doc.77B22699CA498CD94A6219AB7B278CBD.20240809113642862.wp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2.xml"/><Relationship Id="rId1" Type="http://schemas.openxmlformats.org/officeDocument/2006/relationships/oleObject" Target="&#22270;&#34920;%20&#22312;%202023&#24180;&#24230;&#22235;&#24029;&#30465;&#21333;&#20301;&#20915;&#31639;&#20844;&#24320;(1).doc.77B22699CA498CD94A6219AB7B278CBD.20240809113642862.wp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p>
      </c:txPr>
    </c:title>
    <c:autoTitleDeleted val="0"/>
    <c:plotArea>
      <c:layout/>
      <c:barChart>
        <c:barDir val="col"/>
        <c:grouping val="clustered"/>
        <c:varyColors val="0"/>
        <c:ser>
          <c:idx val="0"/>
          <c:order val="0"/>
          <c:tx>
            <c:strRef>
              <c:f>'[图表 在 2023年度四川省单位决算公开(1).doc.77B22699CA498CD94A6219AB7B278CBD.20240809113642862.wps]Sheet1'!$B$3</c:f>
              <c:strCache>
                <c:ptCount val="1"/>
                <c:pt idx="0">
                  <c:v/>
                </c:pt>
              </c:strCache>
            </c:strRef>
          </c:tx>
          <c:spPr>
            <a:solidFill>
              <a:srgbClr val="4F81BD">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'[图表 在 2023年度四川省单位决算公开(1).doc.77B22699CA498CD94A6219AB7B278CBD.20240809113642862.wps]Sheet1'!$C$2:$D$2</c:f>
              <c:numCache>
                <c:formatCode>General</c:formatCode>
                <c:ptCount val="2"/>
                <c:pt idx="0">
                  <c:v>2022</c:v>
                </c:pt>
                <c:pt idx="1">
                  <c:v>2023</c:v>
                </c:pt>
              </c:numCache>
            </c:numRef>
          </c:cat>
          <c:val>
            <c:numRef>
              <c:f>'[图表 在 2023年度四川省单位决算公开(1).doc.77B22699CA498CD94A6219AB7B278CBD.20240809113642862.wps]Sheet1'!$C$3:$D$3</c:f>
              <c:numCache>
                <c:formatCode>General</c:formatCode>
                <c:ptCount val="2"/>
                <c:pt idx="0">
                  <c:v>1810.1</c:v>
                </c:pt>
                <c:pt idx="1">
                  <c:v>1910.38</c:v>
                </c:pt>
              </c:numCache>
            </c:numRef>
          </c:val>
        </c:ser>
        <c:dLbls>
          <c:showLegendKey val="0"/>
          <c:showVal val="1"/>
          <c:showCatName val="0"/>
          <c:showSerName val="0"/>
          <c:showPercent val="0"/>
          <c:showBubbleSize val="0"/>
        </c:dLbls>
        <c:gapWidth val="150"/>
        <c:overlap val="0"/>
        <c:axId val="936595300"/>
        <c:axId val="695284751"/>
      </c:barChart>
      <c:catAx>
        <c:axId val="936595300"/>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95284751"/>
        <c:crosses val="autoZero"/>
        <c:auto val="1"/>
        <c:lblAlgn val="ctr"/>
        <c:lblOffset val="100"/>
        <c:noMultiLvlLbl val="0"/>
      </c:catAx>
      <c:valAx>
        <c:axId val="695284751"/>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36595300"/>
        <c:crosses val="autoZero"/>
        <c:crossBetween val="between"/>
      </c:valAx>
      <c:spPr>
        <a:noFill/>
        <a:ln w="3175">
          <a:noFill/>
        </a:ln>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pieChart>
        <c:varyColors val="1"/>
        <c:ser>
          <c:idx val="1"/>
          <c:order val="0"/>
          <c:tx>
            <c:strRef>
              <c:f>'[图表 在 2023年度四川省单位决算公开(1).doc.77B22699CA498CD94A6219AB7B278CBD.20240809113642862.wps]Sheet1'!$B$4</c:f>
              <c:strCache>
                <c:ptCount val="1"/>
                <c:pt idx="0">
                  <c:v/>
                </c:pt>
              </c:strCache>
            </c:strRef>
          </c:tx>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2023年度四川省单位决算公开(1).doc.77B22699CA498CD94A6219AB7B278CBD.20240809113642862.wps]Sheet1'!$C$2:$E$2</c:f>
              <c:strCache>
                <c:ptCount val="3"/>
                <c:pt idx="0">
                  <c:v>一般公共预算财政拨款收入</c:v>
                </c:pt>
                <c:pt idx="1">
                  <c:v>其他收入</c:v>
                </c:pt>
                <c:pt idx="2">
                  <c:v>事业收入</c:v>
                </c:pt>
              </c:strCache>
            </c:strRef>
          </c:cat>
          <c:val>
            <c:numRef>
              <c:f>'[图表 在 2023年度四川省单位决算公开(1).doc.77B22699CA498CD94A6219AB7B278CBD.20240809113642862.wps]Sheet1'!$C$4:$E$4</c:f>
              <c:numCache>
                <c:formatCode>General</c:formatCode>
                <c:ptCount val="3"/>
                <c:pt idx="0">
                  <c:v>1834.6</c:v>
                </c:pt>
                <c:pt idx="1">
                  <c:v>7.64</c:v>
                </c:pt>
                <c:pt idx="2">
                  <c:v>68.14</c:v>
                </c:pt>
              </c:numCache>
            </c:numRef>
          </c:val>
        </c:ser>
        <c:ser>
          <c:idx val="2"/>
          <c:order val="1"/>
          <c:tx>
            <c:strRef>
              <c:f>'[图表 在 2023年度四川省单位决算公开(1).doc.77B22699CA498CD94A6219AB7B278CBD.20240809113642862.wps]Sheet1'!$B$4</c:f>
              <c:strCache>
                <c:ptCount val="1"/>
                <c:pt idx="0">
                  <c:v/>
                </c:pt>
              </c:strCache>
            </c:strRef>
          </c:tx>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Pt>
            <c:idx val="3"/>
            <c:bubble3D val="0"/>
            <c:spPr>
              <a:solidFill>
                <a:srgbClr val="8064A2"/>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2023年度四川省单位决算公开(1).doc.77B22699CA498CD94A6219AB7B278CBD.20240809113642862.wps]Sheet1'!$C$2:$E$2</c:f>
              <c:strCache>
                <c:ptCount val="3"/>
                <c:pt idx="0">
                  <c:v>一般公共预算财政拨款收入</c:v>
                </c:pt>
                <c:pt idx="1">
                  <c:v>其他收入</c:v>
                </c:pt>
                <c:pt idx="2">
                  <c:v>事业收入</c:v>
                </c:pt>
              </c:strCache>
            </c:strRef>
          </c:cat>
          <c:val>
            <c:numRef>
              <c:f>'[图表 在 2023年度四川省单位决算公开(1).doc.77B22699CA498CD94A6219AB7B278CBD.20240809113642862.wps]Sheet1'!$C$4:$F$4</c:f>
              <c:numCache>
                <c:formatCode>General</c:formatCode>
                <c:ptCount val="4"/>
                <c:pt idx="0">
                  <c:v>1834.6</c:v>
                </c:pt>
                <c:pt idx="1">
                  <c:v>7.64</c:v>
                </c:pt>
                <c:pt idx="2">
                  <c:v>68.14</c:v>
                </c:pt>
                <c:pt idx="3">
                  <c:v>86.3</c:v>
                </c:pt>
              </c:numCache>
            </c:numRef>
          </c:val>
        </c:ser>
        <c:ser>
          <c:idx val="3"/>
          <c:order val="2"/>
          <c:tx>
            <c:strRef>
              <c:f>'[图表 在 2023年度四川省单位决算公开(1).doc.77B22699CA498CD94A6219AB7B278CBD.20240809113642862.wps]Sheet1'!$B$5</c:f>
              <c:strCache>
                <c:ptCount val="1"/>
                <c:pt idx="0">
                  <c:v>北美区</c:v>
                </c:pt>
              </c:strCache>
            </c:strRef>
          </c:tx>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Pt>
            <c:idx val="3"/>
            <c:bubble3D val="0"/>
            <c:spPr>
              <a:solidFill>
                <a:srgbClr val="8064A2"/>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2023年度四川省单位决算公开(1).doc.77B22699CA498CD94A6219AB7B278CBD.20240809113642862.wps]Sheet1'!$C$2:$E$2</c:f>
              <c:strCache>
                <c:ptCount val="3"/>
                <c:pt idx="0">
                  <c:v>一般公共预算财政拨款收入</c:v>
                </c:pt>
                <c:pt idx="1">
                  <c:v>其他收入</c:v>
                </c:pt>
                <c:pt idx="2">
                  <c:v>事业收入</c:v>
                </c:pt>
              </c:strCache>
            </c:strRef>
          </c:cat>
          <c:val>
            <c:numRef>
              <c:f>'[图表 在 2023年度四川省单位决算公开(1).doc.77B22699CA498CD94A6219AB7B278CBD.20240809113642862.wps]Sheet1'!$C$5:$F$5</c:f>
              <c:numCache>
                <c:formatCode>General</c:formatCode>
                <c:ptCount val="4"/>
                <c:pt idx="0">
                  <c:v>91.2</c:v>
                </c:pt>
                <c:pt idx="1">
                  <c:v>89.8</c:v>
                </c:pt>
                <c:pt idx="2">
                  <c:v>88.6</c:v>
                </c:pt>
                <c:pt idx="3">
                  <c:v>76.7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 </a:t>
            </a:r>
            <a:endParaRPr sz="1400" b="0" i="0" u="none" strike="noStrike" baseline="0">
              <a:solidFill>
                <a:srgbClr val="404040">
                  <a:alpha val="100000"/>
                </a:srgbClr>
              </a:solidFill>
              <a:latin typeface="微软雅黑" panose="020B0503020204020204" charset="-122"/>
              <a:ea typeface="微软雅黑" panose="020B0503020204020204" charset="-122"/>
              <a:cs typeface="微软雅黑" panose="020B0503020204020204" charset="-122"/>
            </a:endParaRPr>
          </a:p>
        </c:rich>
      </c:tx>
      <c:layout/>
      <c:overlay val="0"/>
      <c:spPr>
        <a:noFill/>
        <a:ln>
          <a:noFill/>
        </a:ln>
        <a:effectLst/>
      </c:spPr>
    </c:title>
    <c:autoTitleDeleted val="0"/>
    <c:plotArea>
      <c:layout/>
      <c:pieChart>
        <c:varyColors val="1"/>
        <c:ser>
          <c:idx val="1"/>
          <c:order val="0"/>
          <c:tx>
            <c:strRef>
              <c:f>'[图表 在 2023年度四川省单位决算公开(1).doc]Sheet1'!$B$3</c:f>
              <c:strCache>
                <c:ptCount val="1"/>
                <c:pt idx="0">
                  <c:v/>
                </c:pt>
              </c:strCache>
            </c:strRef>
          </c:tx>
          <c:explosion val="0"/>
          <c:dPt>
            <c:idx val="0"/>
            <c:bubble3D val="0"/>
            <c:explosion val="0"/>
            <c:spPr>
              <a:solidFill>
                <a:srgbClr val="4F81BD"/>
              </a:solidFill>
              <a:ln>
                <a:solidFill>
                  <a:srgbClr val="FFFFFF"/>
                </a:solidFill>
              </a:ln>
              <a:effectLst/>
            </c:spPr>
          </c:dPt>
          <c:dPt>
            <c:idx val="1"/>
            <c:bubble3D val="0"/>
            <c:explosion val="0"/>
            <c:spPr>
              <a:solidFill>
                <a:srgbClr val="C0504D"/>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[0a589c4f1]Sheet1!$C$2:$D$2</c:f>
              <c:strCache>
                <c:ptCount val="2"/>
                <c:pt idx="0">
                  <c:v>基本支出</c:v>
                </c:pt>
                <c:pt idx="1">
                  <c:v>项目支出</c:v>
                </c:pt>
              </c:strCache>
            </c:strRef>
          </c:cat>
          <c:val>
            <c:numRef>
              <c:f>[0a589c4f1]Sheet1!$C$3:$D$3</c:f>
              <c:numCache>
                <c:formatCode>General</c:formatCode>
                <c:ptCount val="2"/>
                <c:pt idx="0">
                  <c:v>1440.37</c:v>
                </c:pt>
                <c:pt idx="1">
                  <c:v>470.01</c:v>
                </c:pt>
              </c:numCache>
            </c:numRef>
          </c:val>
        </c:ser>
        <c:ser>
          <c:idx val="2"/>
          <c:order val="1"/>
          <c:tx>
            <c:strRef>
              <c:f>'[图表 在 2023年度四川省单位决算公开(1).doc]Sheet1'!$B$4</c:f>
              <c:strCache>
                <c:ptCount val="1"/>
                <c:pt idx="0">
                  <c:v/>
                </c:pt>
              </c:strCache>
            </c:strRef>
          </c:tx>
          <c:explosion val="0"/>
          <c:dPt>
            <c:idx val="0"/>
            <c:bubble3D val="0"/>
            <c:explosion val="0"/>
            <c:spPr>
              <a:solidFill>
                <a:srgbClr val="4F81BD"/>
              </a:solidFill>
              <a:ln>
                <a:solidFill>
                  <a:srgbClr val="FFFFFF"/>
                </a:solidFill>
              </a:ln>
              <a:effectLst/>
            </c:spPr>
          </c:dPt>
          <c:dPt>
            <c:idx val="1"/>
            <c:bubble3D val="0"/>
            <c:explosion val="0"/>
            <c:spPr>
              <a:solidFill>
                <a:srgbClr val="C0504D"/>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[0a589c4f1]Sheet1!$C$2:$D$2</c:f>
              <c:strCache>
                <c:ptCount val="2"/>
                <c:pt idx="0">
                  <c:v>基本支出</c:v>
                </c:pt>
                <c:pt idx="1">
                  <c:v>项目支出</c:v>
                </c:pt>
              </c:strCache>
            </c:strRef>
          </c:cat>
          <c:val>
            <c:numRef>
              <c:f>[0a589c4f1]Sheet1!$C$4:$D$4</c:f>
              <c:numCache>
                <c:formatCode>General</c:formatCode>
                <c:ptCount val="2"/>
              </c:numCache>
            </c:numRef>
          </c:val>
        </c:ser>
        <c:ser>
          <c:idx val="3"/>
          <c:order val="2"/>
          <c:tx>
            <c:strRef>
              <c:f>'[图表 在 2023年度四川省单位决算公开(1).doc]Sheet1'!$B$5</c:f>
              <c:strCache>
                <c:ptCount val="1"/>
                <c:pt idx="0">
                  <c:v/>
                </c:pt>
              </c:strCache>
            </c:strRef>
          </c:tx>
          <c:explosion val="0"/>
          <c:dPt>
            <c:idx val="0"/>
            <c:bubble3D val="0"/>
            <c:explosion val="0"/>
            <c:spPr>
              <a:solidFill>
                <a:srgbClr val="4F81BD"/>
              </a:solidFill>
              <a:ln>
                <a:solidFill>
                  <a:srgbClr val="FFFFFF"/>
                </a:solidFill>
              </a:ln>
              <a:effectLst/>
            </c:spPr>
          </c:dPt>
          <c:dPt>
            <c:idx val="1"/>
            <c:bubble3D val="0"/>
            <c:explosion val="0"/>
            <c:spPr>
              <a:solidFill>
                <a:srgbClr val="C0504D"/>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[0a589c4f1]Sheet1!$C$2:$D$2</c:f>
              <c:strCache>
                <c:ptCount val="2"/>
                <c:pt idx="0">
                  <c:v>基本支出</c:v>
                </c:pt>
                <c:pt idx="1">
                  <c:v>项目支出</c:v>
                </c:pt>
              </c:strCache>
            </c:strRef>
          </c:cat>
          <c:val>
            <c:numRef>
              <c:f>[0a589c4f1]Sheet1!$C$5:$D$5</c:f>
              <c:numCache>
                <c:formatCode>General</c:formatCode>
                <c:ptCount val="2"/>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barChart>
        <c:barDir val="col"/>
        <c:grouping val="clustered"/>
        <c:varyColors val="0"/>
        <c:ser>
          <c:idx val="0"/>
          <c:order val="0"/>
          <c:tx>
            <c:strRef>
              <c:f>'[图表 在 2023年度四川省单位决算公开(1).doc.77B22699CA498CD94A6219AB7B278CBD.20240809113642862.wps]Sheet1'!$B$3</c:f>
              <c:strCache>
                <c:ptCount val="1"/>
                <c:pt idx="0">
                  <c:v/>
                </c:pt>
              </c:strCache>
            </c:strRef>
          </c:tx>
          <c:spPr>
            <a:solidFill>
              <a:srgbClr val="4F81BD">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'[图表 在 2023年度四川省单位决算公开(1).doc.77B22699CA498CD94A6219AB7B278CBD.20240809113642862.wps]Sheet1'!$C$2:$D$2</c:f>
              <c:numCache>
                <c:formatCode>General</c:formatCode>
                <c:ptCount val="2"/>
                <c:pt idx="0">
                  <c:v>2022</c:v>
                </c:pt>
                <c:pt idx="1">
                  <c:v>2023</c:v>
                </c:pt>
              </c:numCache>
            </c:numRef>
          </c:cat>
          <c:val>
            <c:numRef>
              <c:f>'[图表 在 2023年度四川省单位决算公开(1).doc.77B22699CA498CD94A6219AB7B278CBD.20240809113642862.wps]Sheet1'!$C$3:$D$3</c:f>
              <c:numCache>
                <c:formatCode>General</c:formatCode>
                <c:ptCount val="2"/>
                <c:pt idx="0">
                  <c:v>1751.7</c:v>
                </c:pt>
                <c:pt idx="1">
                  <c:v>1834.6</c:v>
                </c:pt>
              </c:numCache>
            </c:numRef>
          </c:val>
        </c:ser>
        <c:dLbls>
          <c:showLegendKey val="0"/>
          <c:showVal val="1"/>
          <c:showCatName val="0"/>
          <c:showSerName val="0"/>
          <c:showPercent val="0"/>
          <c:showBubbleSize val="0"/>
        </c:dLbls>
        <c:gapWidth val="219"/>
        <c:overlap val="-27"/>
        <c:axId val="251432563"/>
        <c:axId val="931038242"/>
      </c:barChart>
      <c:catAx>
        <c:axId val="251432563"/>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31038242"/>
        <c:crosses val="autoZero"/>
        <c:auto val="1"/>
        <c:lblAlgn val="ctr"/>
        <c:lblOffset val="100"/>
        <c:noMultiLvlLbl val="0"/>
      </c:catAx>
      <c:valAx>
        <c:axId val="93103824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51432563"/>
        <c:crosses val="autoZero"/>
        <c:crossBetween val="between"/>
      </c:valAx>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barChart>
        <c:barDir val="col"/>
        <c:grouping val="clustered"/>
        <c:varyColors val="0"/>
        <c:ser>
          <c:idx val="0"/>
          <c:order val="0"/>
          <c:tx>
            <c:strRef>
              <c:f>'[图表 在 2023年度四川省单位决算公开(1).doc.77B22699CA498CD94A6219AB7B278CBD.20240809113642862.wps]Sheet1'!$B$3</c:f>
              <c:strCache>
                <c:ptCount val="1"/>
                <c:pt idx="0">
                  <c:v/>
                </c:pt>
              </c:strCache>
            </c:strRef>
          </c:tx>
          <c:spPr>
            <a:solidFill>
              <a:srgbClr val="4F81BD">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'[图表 在 2023年度四川省单位决算公开(1).doc.77B22699CA498CD94A6219AB7B278CBD.20240809113642862.wps]Sheet1'!$C$2:$D$2</c:f>
              <c:numCache>
                <c:formatCode>General</c:formatCode>
                <c:ptCount val="2"/>
                <c:pt idx="0">
                  <c:v>2022</c:v>
                </c:pt>
                <c:pt idx="1">
                  <c:v>2023</c:v>
                </c:pt>
              </c:numCache>
            </c:numRef>
          </c:cat>
          <c:val>
            <c:numRef>
              <c:f>'[图表 在 2023年度四川省单位决算公开(1).doc.77B22699CA498CD94A6219AB7B278CBD.20240809113642862.wps]Sheet1'!$C$3:$D$3</c:f>
              <c:numCache>
                <c:formatCode>General</c:formatCode>
                <c:ptCount val="2"/>
                <c:pt idx="0">
                  <c:v>1751.7</c:v>
                </c:pt>
                <c:pt idx="1">
                  <c:v>1834.6</c:v>
                </c:pt>
              </c:numCache>
            </c:numRef>
          </c:val>
        </c:ser>
        <c:dLbls>
          <c:showLegendKey val="0"/>
          <c:showVal val="1"/>
          <c:showCatName val="0"/>
          <c:showSerName val="0"/>
          <c:showPercent val="0"/>
          <c:showBubbleSize val="0"/>
        </c:dLbls>
        <c:gapWidth val="219"/>
        <c:overlap val="-27"/>
        <c:axId val="251432563"/>
        <c:axId val="931038242"/>
      </c:barChart>
      <c:catAx>
        <c:axId val="251432563"/>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31038242"/>
        <c:crosses val="autoZero"/>
        <c:auto val="1"/>
        <c:lblAlgn val="ctr"/>
        <c:lblOffset val="100"/>
        <c:noMultiLvlLbl val="0"/>
      </c:catAx>
      <c:valAx>
        <c:axId val="93103824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51432563"/>
        <c:crosses val="autoZero"/>
        <c:crossBetween val="between"/>
      </c:valAx>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0"/>
          <c:tx>
            <c:strRef>
              <c:f>'[图表 在 2023年度四川省单位决算公开(1).doc.77B22699CA498CD94A6219AB7B278CBD.20240809113642862.wps]Sheet1'!$B$3</c:f>
              <c:strCache>
                <c:ptCount val="1"/>
                <c:pt idx="0">
                  <c:v>亚洲区</c:v>
                </c:pt>
              </c:strCache>
            </c:strRef>
          </c:tx>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 在 2023年度四川省单位决算公开(1).doc.77B22699CA498CD94A6219AB7B278CBD.20240809113642862.wps]Sheet1'!$C$2:$D$2</c:f>
              <c:strCache>
                <c:ptCount val="2"/>
                <c:pt idx="0">
                  <c:v>公务用车购置及运行维护费支出</c:v>
                </c:pt>
                <c:pt idx="1">
                  <c:v>公务接待费支出</c:v>
                </c:pt>
              </c:strCache>
            </c:strRef>
          </c:cat>
          <c:val>
            <c:numRef>
              <c:f>'[图表 在 2023年度四川省单位决算公开(1).doc.77B22699CA498CD94A6219AB7B278CBD.20240809113642862.wps]Sheet1'!$C$3:$D$3</c:f>
              <c:numCache>
                <c:formatCode>General</c:formatCode>
                <c:ptCount val="2"/>
                <c:pt idx="0">
                  <c:v>5.7</c:v>
                </c:pt>
                <c:pt idx="1">
                  <c:v>0.25</c:v>
                </c:pt>
              </c:numCache>
            </c:numRef>
          </c:val>
        </c:ser>
        <c:ser>
          <c:idx val="2"/>
          <c:order val="1"/>
          <c:tx>
            <c:strRef>
              <c:f>'[图表 在 2023年度四川省单位决算公开(1).doc.77B22699CA498CD94A6219AB7B278CBD.20240809113642862.wps]Sheet1'!$B$4</c:f>
              <c:strCache>
                <c:ptCount val="1"/>
                <c:pt idx="0">
                  <c:v>欧洲区</c:v>
                </c:pt>
              </c:strCache>
            </c:strRef>
          </c:tx>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Pt>
            <c:idx val="3"/>
            <c:bubble3D val="0"/>
            <c:spPr>
              <a:solidFill>
                <a:srgbClr val="8064A2"/>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 在 2023年度四川省单位决算公开(1).doc.77B22699CA498CD94A6219AB7B278CBD.20240809113642862.wps]Sheet1'!$C$2:$D$2</c:f>
              <c:strCache>
                <c:ptCount val="2"/>
                <c:pt idx="0">
                  <c:v>公务用车购置及运行维护费支出</c:v>
                </c:pt>
                <c:pt idx="1">
                  <c:v>公务接待费支出</c:v>
                </c:pt>
              </c:strCache>
            </c:strRef>
          </c:cat>
          <c:val>
            <c:numRef>
              <c:f>'[图表 在 2023年度四川省单位决算公开(1).doc.77B22699CA498CD94A6219AB7B278CBD.20240809113642862.wps]Sheet1'!$C$4:$F$4</c:f>
              <c:numCache>
                <c:formatCode>General</c:formatCode>
                <c:ptCount val="4"/>
                <c:pt idx="0">
                  <c:v>56.8</c:v>
                </c:pt>
                <c:pt idx="1">
                  <c:v>71.4</c:v>
                </c:pt>
                <c:pt idx="2">
                  <c:v>67.3</c:v>
                </c:pt>
                <c:pt idx="3">
                  <c:v>86.3</c:v>
                </c:pt>
              </c:numCache>
            </c:numRef>
          </c:val>
        </c:ser>
        <c:ser>
          <c:idx val="3"/>
          <c:order val="2"/>
          <c:tx>
            <c:strRef>
              <c:f>'[图表 在 2023年度四川省单位决算公开(1).doc.77B22699CA498CD94A6219AB7B278CBD.20240809113642862.wps]Sheet1'!$B$5</c:f>
              <c:strCache>
                <c:ptCount val="1"/>
                <c:pt idx="0">
                  <c:v>北美区</c:v>
                </c:pt>
              </c:strCache>
            </c:strRef>
          </c:tx>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Pt>
            <c:idx val="3"/>
            <c:bubble3D val="0"/>
            <c:spPr>
              <a:solidFill>
                <a:srgbClr val="8064A2"/>
              </a:solidFill>
              <a:ln>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 在 2023年度四川省单位决算公开(1).doc.77B22699CA498CD94A6219AB7B278CBD.20240809113642862.wps]Sheet1'!$C$2:$D$2</c:f>
              <c:strCache>
                <c:ptCount val="2"/>
                <c:pt idx="0">
                  <c:v>公务用车购置及运行维护费支出</c:v>
                </c:pt>
                <c:pt idx="1">
                  <c:v>公务接待费支出</c:v>
                </c:pt>
              </c:strCache>
            </c:strRef>
          </c:cat>
          <c:val>
            <c:numRef>
              <c:f>'[图表 在 2023年度四川省单位决算公开(1).doc.77B22699CA498CD94A6219AB7B278CBD.20240809113642862.wps]Sheet1'!$C$5:$F$5</c:f>
              <c:numCache>
                <c:formatCode>General</c:formatCode>
                <c:ptCount val="4"/>
                <c:pt idx="0">
                  <c:v>91.2</c:v>
                </c:pt>
                <c:pt idx="1">
                  <c:v>89.8</c:v>
                </c:pt>
                <c:pt idx="2">
                  <c:v>88.6</c:v>
                </c:pt>
                <c:pt idx="3">
                  <c:v>76.7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2024-09-12T08:33:27Z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52E182B64DBC4CE0932B6150977E7218_12</vt:lpwstr>
  </property>
</Properties>
</file>